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33DD1" w14:paraId="177BF239" w14:textId="77777777">
        <w:tblPrEx>
          <w:tblCellMar>
            <w:top w:w="0" w:type="dxa"/>
            <w:bottom w:w="0" w:type="dxa"/>
          </w:tblCellMar>
        </w:tblPrEx>
        <w:trPr>
          <w:tblCellSpacing w:w="60" w:type="dxa"/>
        </w:trPr>
        <w:tc>
          <w:tcPr>
            <w:tcW w:w="1200" w:type="pct"/>
            <w:shd w:val="clear" w:color="auto" w:fill="E7F0F9"/>
          </w:tcPr>
          <w:p w14:paraId="4A769589" w14:textId="77777777" w:rsidR="00633DD1" w:rsidRDefault="00000000">
            <w:pPr>
              <w:spacing w:after="0" w:line="240" w:lineRule="auto"/>
            </w:pPr>
            <w:r>
              <w:rPr>
                <w:b/>
              </w:rPr>
              <w:t>RKP broj</w:t>
            </w:r>
          </w:p>
        </w:tc>
        <w:tc>
          <w:tcPr>
            <w:tcW w:w="0" w:type="auto"/>
            <w:shd w:val="clear" w:color="auto" w:fill="E7F0F9"/>
          </w:tcPr>
          <w:p w14:paraId="425379FF" w14:textId="77777777" w:rsidR="00633DD1" w:rsidRDefault="00000000">
            <w:pPr>
              <w:spacing w:after="0" w:line="240" w:lineRule="auto"/>
            </w:pPr>
            <w:r>
              <w:t>27861</w:t>
            </w:r>
          </w:p>
        </w:tc>
      </w:tr>
      <w:tr w:rsidR="00633DD1" w14:paraId="1BD222E0" w14:textId="77777777">
        <w:tblPrEx>
          <w:tblCellMar>
            <w:top w:w="0" w:type="dxa"/>
            <w:bottom w:w="0" w:type="dxa"/>
          </w:tblCellMar>
        </w:tblPrEx>
        <w:trPr>
          <w:tblCellSpacing w:w="60" w:type="dxa"/>
        </w:trPr>
        <w:tc>
          <w:tcPr>
            <w:tcW w:w="1200" w:type="pct"/>
            <w:shd w:val="clear" w:color="auto" w:fill="E7F0F9"/>
          </w:tcPr>
          <w:p w14:paraId="09082C3C" w14:textId="77777777" w:rsidR="00633DD1" w:rsidRDefault="00000000">
            <w:pPr>
              <w:spacing w:after="0" w:line="240" w:lineRule="auto"/>
            </w:pPr>
            <w:r>
              <w:rPr>
                <w:b/>
              </w:rPr>
              <w:t>Naziv obveznika</w:t>
            </w:r>
          </w:p>
        </w:tc>
        <w:tc>
          <w:tcPr>
            <w:tcW w:w="0" w:type="auto"/>
            <w:shd w:val="clear" w:color="auto" w:fill="E7F0F9"/>
          </w:tcPr>
          <w:p w14:paraId="19959DC4" w14:textId="77777777" w:rsidR="00633DD1" w:rsidRDefault="00000000">
            <w:pPr>
              <w:spacing w:after="0" w:line="240" w:lineRule="auto"/>
            </w:pPr>
            <w:r>
              <w:t>OPĆINA FERDINANDOVAC</w:t>
            </w:r>
          </w:p>
        </w:tc>
      </w:tr>
      <w:tr w:rsidR="00633DD1" w14:paraId="3BEFC977" w14:textId="77777777">
        <w:tblPrEx>
          <w:tblCellMar>
            <w:top w:w="0" w:type="dxa"/>
            <w:bottom w:w="0" w:type="dxa"/>
          </w:tblCellMar>
        </w:tblPrEx>
        <w:trPr>
          <w:tblCellSpacing w:w="60" w:type="dxa"/>
        </w:trPr>
        <w:tc>
          <w:tcPr>
            <w:tcW w:w="1200" w:type="pct"/>
            <w:shd w:val="clear" w:color="auto" w:fill="E7F0F9"/>
          </w:tcPr>
          <w:p w14:paraId="6790A777" w14:textId="77777777" w:rsidR="00633DD1" w:rsidRDefault="00000000">
            <w:pPr>
              <w:spacing w:after="0" w:line="240" w:lineRule="auto"/>
            </w:pPr>
            <w:r>
              <w:rPr>
                <w:b/>
              </w:rPr>
              <w:t>Razina</w:t>
            </w:r>
          </w:p>
        </w:tc>
        <w:tc>
          <w:tcPr>
            <w:tcW w:w="0" w:type="auto"/>
            <w:shd w:val="clear" w:color="auto" w:fill="E7F0F9"/>
          </w:tcPr>
          <w:p w14:paraId="337573FF" w14:textId="77777777" w:rsidR="00633DD1" w:rsidRDefault="00000000">
            <w:pPr>
              <w:spacing w:after="0" w:line="240" w:lineRule="auto"/>
            </w:pPr>
            <w:r>
              <w:t>22</w:t>
            </w:r>
          </w:p>
        </w:tc>
      </w:tr>
    </w:tbl>
    <w:p w14:paraId="7910AD2C" w14:textId="77777777" w:rsidR="00633DD1" w:rsidRDefault="00000000">
      <w:r>
        <w:br/>
      </w:r>
    </w:p>
    <w:p w14:paraId="0FD0741D" w14:textId="77777777" w:rsidR="00633DD1" w:rsidRDefault="00000000">
      <w:pPr>
        <w:spacing w:line="240" w:lineRule="auto"/>
        <w:jc w:val="center"/>
      </w:pPr>
      <w:r>
        <w:rPr>
          <w:b/>
          <w:sz w:val="28"/>
        </w:rPr>
        <w:t>BILJEŠKE UZ FINANCIJSKE IZVJEŠTAJE</w:t>
      </w:r>
    </w:p>
    <w:p w14:paraId="4B032B37" w14:textId="77777777" w:rsidR="00633DD1" w:rsidRDefault="00000000">
      <w:pPr>
        <w:spacing w:line="240" w:lineRule="auto"/>
        <w:jc w:val="center"/>
      </w:pPr>
      <w:r>
        <w:rPr>
          <w:b/>
          <w:sz w:val="28"/>
        </w:rPr>
        <w:t>ZA RAZDOBLJE</w:t>
      </w:r>
    </w:p>
    <w:p w14:paraId="539DBD0A" w14:textId="77777777" w:rsidR="00633DD1" w:rsidRDefault="00000000">
      <w:pPr>
        <w:spacing w:line="240" w:lineRule="auto"/>
        <w:jc w:val="center"/>
      </w:pPr>
      <w:r>
        <w:rPr>
          <w:b/>
          <w:sz w:val="28"/>
        </w:rPr>
        <w:t>I - XII 2025.</w:t>
      </w:r>
    </w:p>
    <w:p w14:paraId="6569FD3A" w14:textId="77777777" w:rsidR="00633DD1" w:rsidRDefault="00633DD1"/>
    <w:p w14:paraId="2E2476AF" w14:textId="77777777" w:rsidR="00633DD1" w:rsidRDefault="00000000">
      <w:pPr>
        <w:keepNext/>
        <w:spacing w:line="240" w:lineRule="auto"/>
        <w:jc w:val="center"/>
      </w:pPr>
      <w:r>
        <w:rPr>
          <w:b/>
          <w:sz w:val="28"/>
        </w:rPr>
        <w:t>Izvještaj o prihodima i rashodima, primicima i izdacima</w:t>
      </w:r>
    </w:p>
    <w:p w14:paraId="47E9DE88" w14:textId="77777777" w:rsidR="00633DD1"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43D34F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0AE1C4"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6841EA8"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98CFA6"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62EB1F"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7E2D99A"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4C2E4E1" w14:textId="77777777" w:rsidR="00633DD1" w:rsidRDefault="00000000">
            <w:pPr>
              <w:keepNext/>
              <w:keepLines/>
              <w:spacing w:after="0" w:line="240" w:lineRule="auto"/>
              <w:jc w:val="center"/>
            </w:pPr>
            <w:r>
              <w:rPr>
                <w:b/>
                <w:sz w:val="18"/>
              </w:rPr>
              <w:t>Indeks (%)</w:t>
            </w:r>
          </w:p>
        </w:tc>
      </w:tr>
      <w:tr w:rsidR="00633DD1" w14:paraId="1CDE4ADA" w14:textId="77777777">
        <w:tblPrEx>
          <w:tblCellMar>
            <w:top w:w="0" w:type="dxa"/>
            <w:bottom w:w="0" w:type="dxa"/>
          </w:tblCellMar>
        </w:tblPrEx>
        <w:trPr>
          <w:cantSplit/>
          <w:trHeight w:val="560"/>
        </w:trPr>
        <w:tc>
          <w:tcPr>
            <w:tcW w:w="700" w:type="dxa"/>
            <w:tcMar>
              <w:top w:w="0" w:type="dxa"/>
              <w:bottom w:w="0" w:type="dxa"/>
            </w:tcMar>
            <w:vAlign w:val="center"/>
          </w:tcPr>
          <w:p w14:paraId="1CAB15F2" w14:textId="77777777" w:rsidR="00633DD1" w:rsidRDefault="00000000">
            <w:pPr>
              <w:keepNext/>
              <w:keepLines/>
              <w:spacing w:after="0" w:line="240" w:lineRule="auto"/>
            </w:pPr>
            <w:r>
              <w:rPr>
                <w:sz w:val="18"/>
              </w:rPr>
              <w:t>6</w:t>
            </w:r>
          </w:p>
        </w:tc>
        <w:tc>
          <w:tcPr>
            <w:tcW w:w="3180" w:type="dxa"/>
            <w:tcMar>
              <w:top w:w="0" w:type="dxa"/>
              <w:bottom w:w="0" w:type="dxa"/>
            </w:tcMar>
            <w:vAlign w:val="center"/>
          </w:tcPr>
          <w:p w14:paraId="6A759DC8" w14:textId="77777777" w:rsidR="00633DD1"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D32FCB0" w14:textId="77777777" w:rsidR="00633DD1" w:rsidRDefault="00000000">
            <w:pPr>
              <w:keepNext/>
              <w:keepLines/>
              <w:spacing w:after="0" w:line="240" w:lineRule="auto"/>
            </w:pPr>
            <w:r>
              <w:rPr>
                <w:sz w:val="18"/>
              </w:rPr>
              <w:t>6</w:t>
            </w:r>
          </w:p>
        </w:tc>
        <w:tc>
          <w:tcPr>
            <w:tcW w:w="1860" w:type="dxa"/>
            <w:tcMar>
              <w:top w:w="0" w:type="dxa"/>
              <w:bottom w:w="0" w:type="dxa"/>
            </w:tcMar>
            <w:vAlign w:val="center"/>
          </w:tcPr>
          <w:p w14:paraId="6814CF84" w14:textId="77777777" w:rsidR="00633DD1" w:rsidRDefault="00000000">
            <w:pPr>
              <w:keepNext/>
              <w:keepLines/>
              <w:spacing w:after="0" w:line="240" w:lineRule="auto"/>
              <w:jc w:val="right"/>
            </w:pPr>
            <w:r>
              <w:rPr>
                <w:sz w:val="18"/>
              </w:rPr>
              <w:t>1.257.838,51</w:t>
            </w:r>
          </w:p>
        </w:tc>
        <w:tc>
          <w:tcPr>
            <w:tcW w:w="1860" w:type="dxa"/>
            <w:tcMar>
              <w:top w:w="0" w:type="dxa"/>
              <w:bottom w:w="0" w:type="dxa"/>
            </w:tcMar>
            <w:vAlign w:val="center"/>
          </w:tcPr>
          <w:p w14:paraId="0169E428" w14:textId="77777777" w:rsidR="00633DD1" w:rsidRDefault="00000000">
            <w:pPr>
              <w:keepNext/>
              <w:keepLines/>
              <w:spacing w:after="0" w:line="240" w:lineRule="auto"/>
              <w:jc w:val="right"/>
            </w:pPr>
            <w:r>
              <w:rPr>
                <w:sz w:val="18"/>
              </w:rPr>
              <w:t>1.487.793,68</w:t>
            </w:r>
          </w:p>
        </w:tc>
        <w:tc>
          <w:tcPr>
            <w:tcW w:w="700" w:type="dxa"/>
            <w:tcMar>
              <w:top w:w="0" w:type="dxa"/>
              <w:bottom w:w="0" w:type="dxa"/>
            </w:tcMar>
            <w:vAlign w:val="center"/>
          </w:tcPr>
          <w:p w14:paraId="566286E8" w14:textId="77777777" w:rsidR="00633DD1" w:rsidRDefault="00000000">
            <w:pPr>
              <w:keepNext/>
              <w:keepLines/>
              <w:spacing w:after="0" w:line="240" w:lineRule="auto"/>
              <w:jc w:val="right"/>
            </w:pPr>
            <w:r>
              <w:rPr>
                <w:sz w:val="18"/>
              </w:rPr>
              <w:t>118,3</w:t>
            </w:r>
          </w:p>
        </w:tc>
      </w:tr>
      <w:tr w:rsidR="00633DD1" w14:paraId="59CCC2C7" w14:textId="77777777">
        <w:tblPrEx>
          <w:tblCellMar>
            <w:top w:w="0" w:type="dxa"/>
            <w:bottom w:w="0" w:type="dxa"/>
          </w:tblCellMar>
        </w:tblPrEx>
        <w:trPr>
          <w:cantSplit/>
          <w:trHeight w:val="560"/>
        </w:trPr>
        <w:tc>
          <w:tcPr>
            <w:tcW w:w="700" w:type="dxa"/>
            <w:tcMar>
              <w:top w:w="0" w:type="dxa"/>
              <w:bottom w:w="0" w:type="dxa"/>
            </w:tcMar>
            <w:vAlign w:val="center"/>
          </w:tcPr>
          <w:p w14:paraId="16EA4099" w14:textId="77777777" w:rsidR="00633DD1" w:rsidRDefault="00000000">
            <w:pPr>
              <w:keepNext/>
              <w:keepLines/>
              <w:spacing w:after="0" w:line="240" w:lineRule="auto"/>
            </w:pPr>
            <w:r>
              <w:rPr>
                <w:sz w:val="18"/>
              </w:rPr>
              <w:t>3</w:t>
            </w:r>
          </w:p>
        </w:tc>
        <w:tc>
          <w:tcPr>
            <w:tcW w:w="3180" w:type="dxa"/>
            <w:tcMar>
              <w:top w:w="0" w:type="dxa"/>
              <w:bottom w:w="0" w:type="dxa"/>
            </w:tcMar>
            <w:vAlign w:val="center"/>
          </w:tcPr>
          <w:p w14:paraId="33BCF849" w14:textId="77777777" w:rsidR="00633DD1"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38DE607" w14:textId="77777777" w:rsidR="00633DD1" w:rsidRDefault="00000000">
            <w:pPr>
              <w:keepNext/>
              <w:keepLines/>
              <w:spacing w:after="0" w:line="240" w:lineRule="auto"/>
            </w:pPr>
            <w:r>
              <w:rPr>
                <w:sz w:val="18"/>
              </w:rPr>
              <w:t>3</w:t>
            </w:r>
          </w:p>
        </w:tc>
        <w:tc>
          <w:tcPr>
            <w:tcW w:w="1860" w:type="dxa"/>
            <w:tcMar>
              <w:top w:w="0" w:type="dxa"/>
              <w:bottom w:w="0" w:type="dxa"/>
            </w:tcMar>
            <w:vAlign w:val="center"/>
          </w:tcPr>
          <w:p w14:paraId="25BE8EC2" w14:textId="77777777" w:rsidR="00633DD1" w:rsidRDefault="00000000">
            <w:pPr>
              <w:keepNext/>
              <w:keepLines/>
              <w:spacing w:after="0" w:line="240" w:lineRule="auto"/>
              <w:jc w:val="right"/>
            </w:pPr>
            <w:r>
              <w:rPr>
                <w:sz w:val="18"/>
              </w:rPr>
              <w:t>1.005.639,89</w:t>
            </w:r>
          </w:p>
        </w:tc>
        <w:tc>
          <w:tcPr>
            <w:tcW w:w="1860" w:type="dxa"/>
            <w:tcMar>
              <w:top w:w="0" w:type="dxa"/>
              <w:bottom w:w="0" w:type="dxa"/>
            </w:tcMar>
            <w:vAlign w:val="center"/>
          </w:tcPr>
          <w:p w14:paraId="1A7777D4" w14:textId="77777777" w:rsidR="00633DD1" w:rsidRDefault="00000000">
            <w:pPr>
              <w:keepNext/>
              <w:keepLines/>
              <w:spacing w:after="0" w:line="240" w:lineRule="auto"/>
              <w:jc w:val="right"/>
            </w:pPr>
            <w:r>
              <w:rPr>
                <w:sz w:val="18"/>
              </w:rPr>
              <w:t>1.148.612,63</w:t>
            </w:r>
          </w:p>
        </w:tc>
        <w:tc>
          <w:tcPr>
            <w:tcW w:w="700" w:type="dxa"/>
            <w:tcMar>
              <w:top w:w="0" w:type="dxa"/>
              <w:bottom w:w="0" w:type="dxa"/>
            </w:tcMar>
            <w:vAlign w:val="center"/>
          </w:tcPr>
          <w:p w14:paraId="743CC133" w14:textId="77777777" w:rsidR="00633DD1" w:rsidRDefault="00000000">
            <w:pPr>
              <w:keepNext/>
              <w:keepLines/>
              <w:spacing w:after="0" w:line="240" w:lineRule="auto"/>
              <w:jc w:val="right"/>
            </w:pPr>
            <w:r>
              <w:rPr>
                <w:sz w:val="18"/>
              </w:rPr>
              <w:t>114,2</w:t>
            </w:r>
          </w:p>
        </w:tc>
      </w:tr>
      <w:tr w:rsidR="00633DD1" w14:paraId="4DF4FBD3" w14:textId="77777777">
        <w:tblPrEx>
          <w:tblCellMar>
            <w:top w:w="0" w:type="dxa"/>
            <w:bottom w:w="0" w:type="dxa"/>
          </w:tblCellMar>
        </w:tblPrEx>
        <w:trPr>
          <w:cantSplit/>
          <w:trHeight w:val="560"/>
        </w:trPr>
        <w:tc>
          <w:tcPr>
            <w:tcW w:w="700" w:type="dxa"/>
            <w:tcMar>
              <w:top w:w="0" w:type="dxa"/>
              <w:bottom w:w="0" w:type="dxa"/>
            </w:tcMar>
            <w:vAlign w:val="center"/>
          </w:tcPr>
          <w:p w14:paraId="1F5932DF" w14:textId="77777777" w:rsidR="00633DD1" w:rsidRDefault="00633DD1">
            <w:pPr>
              <w:keepNext/>
              <w:keepLines/>
              <w:spacing w:after="0" w:line="240" w:lineRule="auto"/>
            </w:pPr>
          </w:p>
        </w:tc>
        <w:tc>
          <w:tcPr>
            <w:tcW w:w="3180" w:type="dxa"/>
            <w:tcMar>
              <w:top w:w="0" w:type="dxa"/>
              <w:bottom w:w="0" w:type="dxa"/>
            </w:tcMar>
            <w:vAlign w:val="center"/>
          </w:tcPr>
          <w:p w14:paraId="3C01620A" w14:textId="77777777" w:rsidR="00633DD1"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1C1AE8FC" w14:textId="77777777" w:rsidR="00633DD1" w:rsidRDefault="00000000">
            <w:pPr>
              <w:keepNext/>
              <w:keepLines/>
              <w:spacing w:after="0" w:line="240" w:lineRule="auto"/>
            </w:pPr>
            <w:r>
              <w:rPr>
                <w:b/>
                <w:sz w:val="18"/>
              </w:rPr>
              <w:t>X001</w:t>
            </w:r>
          </w:p>
        </w:tc>
        <w:tc>
          <w:tcPr>
            <w:tcW w:w="1860" w:type="dxa"/>
            <w:tcMar>
              <w:top w:w="0" w:type="dxa"/>
              <w:bottom w:w="0" w:type="dxa"/>
            </w:tcMar>
            <w:vAlign w:val="center"/>
          </w:tcPr>
          <w:p w14:paraId="4F68CCBC" w14:textId="77777777" w:rsidR="00633DD1" w:rsidRDefault="00000000">
            <w:pPr>
              <w:keepNext/>
              <w:keepLines/>
              <w:spacing w:after="0" w:line="240" w:lineRule="auto"/>
              <w:jc w:val="right"/>
            </w:pPr>
            <w:r>
              <w:rPr>
                <w:b/>
                <w:sz w:val="18"/>
              </w:rPr>
              <w:t>252.198,62</w:t>
            </w:r>
          </w:p>
        </w:tc>
        <w:tc>
          <w:tcPr>
            <w:tcW w:w="1860" w:type="dxa"/>
            <w:tcMar>
              <w:top w:w="0" w:type="dxa"/>
              <w:bottom w:w="0" w:type="dxa"/>
            </w:tcMar>
            <w:vAlign w:val="center"/>
          </w:tcPr>
          <w:p w14:paraId="02832330" w14:textId="77777777" w:rsidR="00633DD1" w:rsidRDefault="00000000">
            <w:pPr>
              <w:keepNext/>
              <w:keepLines/>
              <w:spacing w:after="0" w:line="240" w:lineRule="auto"/>
              <w:jc w:val="right"/>
            </w:pPr>
            <w:r>
              <w:rPr>
                <w:b/>
                <w:sz w:val="18"/>
              </w:rPr>
              <w:t>339.181,05</w:t>
            </w:r>
          </w:p>
        </w:tc>
        <w:tc>
          <w:tcPr>
            <w:tcW w:w="700" w:type="dxa"/>
            <w:tcMar>
              <w:top w:w="0" w:type="dxa"/>
              <w:bottom w:w="0" w:type="dxa"/>
            </w:tcMar>
            <w:vAlign w:val="center"/>
          </w:tcPr>
          <w:p w14:paraId="7BE9A893" w14:textId="77777777" w:rsidR="00633DD1" w:rsidRDefault="00000000">
            <w:pPr>
              <w:keepNext/>
              <w:keepLines/>
              <w:spacing w:after="0" w:line="240" w:lineRule="auto"/>
              <w:jc w:val="right"/>
            </w:pPr>
            <w:r>
              <w:rPr>
                <w:b/>
                <w:sz w:val="18"/>
              </w:rPr>
              <w:t>134,5</w:t>
            </w:r>
          </w:p>
        </w:tc>
      </w:tr>
      <w:tr w:rsidR="00633DD1" w14:paraId="345FB60B" w14:textId="77777777">
        <w:tblPrEx>
          <w:tblCellMar>
            <w:top w:w="0" w:type="dxa"/>
            <w:bottom w:w="0" w:type="dxa"/>
          </w:tblCellMar>
        </w:tblPrEx>
        <w:trPr>
          <w:cantSplit/>
          <w:trHeight w:val="560"/>
        </w:trPr>
        <w:tc>
          <w:tcPr>
            <w:tcW w:w="700" w:type="dxa"/>
            <w:tcMar>
              <w:top w:w="0" w:type="dxa"/>
              <w:bottom w:w="0" w:type="dxa"/>
            </w:tcMar>
            <w:vAlign w:val="center"/>
          </w:tcPr>
          <w:p w14:paraId="4A6DB820" w14:textId="77777777" w:rsidR="00633DD1" w:rsidRDefault="00000000">
            <w:pPr>
              <w:keepNext/>
              <w:keepLines/>
              <w:spacing w:after="0" w:line="240" w:lineRule="auto"/>
            </w:pPr>
            <w:r>
              <w:rPr>
                <w:sz w:val="18"/>
              </w:rPr>
              <w:t>7</w:t>
            </w:r>
          </w:p>
        </w:tc>
        <w:tc>
          <w:tcPr>
            <w:tcW w:w="3180" w:type="dxa"/>
            <w:tcMar>
              <w:top w:w="0" w:type="dxa"/>
              <w:bottom w:w="0" w:type="dxa"/>
            </w:tcMar>
            <w:vAlign w:val="center"/>
          </w:tcPr>
          <w:p w14:paraId="6E3D81BC" w14:textId="77777777" w:rsidR="00633DD1"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8A6E888" w14:textId="77777777" w:rsidR="00633DD1" w:rsidRDefault="00000000">
            <w:pPr>
              <w:keepNext/>
              <w:keepLines/>
              <w:spacing w:after="0" w:line="240" w:lineRule="auto"/>
            </w:pPr>
            <w:r>
              <w:rPr>
                <w:sz w:val="18"/>
              </w:rPr>
              <w:t>7</w:t>
            </w:r>
          </w:p>
        </w:tc>
        <w:tc>
          <w:tcPr>
            <w:tcW w:w="1860" w:type="dxa"/>
            <w:tcMar>
              <w:top w:w="0" w:type="dxa"/>
              <w:bottom w:w="0" w:type="dxa"/>
            </w:tcMar>
            <w:vAlign w:val="center"/>
          </w:tcPr>
          <w:p w14:paraId="46337E26" w14:textId="77777777" w:rsidR="00633DD1" w:rsidRDefault="00000000">
            <w:pPr>
              <w:keepNext/>
              <w:keepLines/>
              <w:spacing w:after="0" w:line="240" w:lineRule="auto"/>
              <w:jc w:val="right"/>
            </w:pPr>
            <w:r>
              <w:rPr>
                <w:sz w:val="18"/>
              </w:rPr>
              <w:t>510,27</w:t>
            </w:r>
          </w:p>
        </w:tc>
        <w:tc>
          <w:tcPr>
            <w:tcW w:w="1860" w:type="dxa"/>
            <w:tcMar>
              <w:top w:w="0" w:type="dxa"/>
              <w:bottom w:w="0" w:type="dxa"/>
            </w:tcMar>
            <w:vAlign w:val="center"/>
          </w:tcPr>
          <w:p w14:paraId="407B625A" w14:textId="77777777" w:rsidR="00633DD1" w:rsidRDefault="00000000">
            <w:pPr>
              <w:keepNext/>
              <w:keepLines/>
              <w:spacing w:after="0" w:line="240" w:lineRule="auto"/>
              <w:jc w:val="right"/>
            </w:pPr>
            <w:r>
              <w:rPr>
                <w:sz w:val="18"/>
              </w:rPr>
              <w:t>0,00</w:t>
            </w:r>
          </w:p>
        </w:tc>
        <w:tc>
          <w:tcPr>
            <w:tcW w:w="700" w:type="dxa"/>
            <w:tcMar>
              <w:top w:w="0" w:type="dxa"/>
              <w:bottom w:w="0" w:type="dxa"/>
            </w:tcMar>
            <w:vAlign w:val="center"/>
          </w:tcPr>
          <w:p w14:paraId="5878FBC6" w14:textId="77777777" w:rsidR="00633DD1" w:rsidRDefault="00000000">
            <w:pPr>
              <w:keepNext/>
              <w:keepLines/>
              <w:spacing w:after="0" w:line="240" w:lineRule="auto"/>
              <w:jc w:val="right"/>
            </w:pPr>
            <w:r>
              <w:rPr>
                <w:sz w:val="18"/>
              </w:rPr>
              <w:t>0</w:t>
            </w:r>
          </w:p>
        </w:tc>
      </w:tr>
      <w:tr w:rsidR="00633DD1" w14:paraId="1A1D4843" w14:textId="77777777">
        <w:tblPrEx>
          <w:tblCellMar>
            <w:top w:w="0" w:type="dxa"/>
            <w:bottom w:w="0" w:type="dxa"/>
          </w:tblCellMar>
        </w:tblPrEx>
        <w:trPr>
          <w:cantSplit/>
          <w:trHeight w:val="560"/>
        </w:trPr>
        <w:tc>
          <w:tcPr>
            <w:tcW w:w="700" w:type="dxa"/>
            <w:tcMar>
              <w:top w:w="0" w:type="dxa"/>
              <w:bottom w:w="0" w:type="dxa"/>
            </w:tcMar>
            <w:vAlign w:val="center"/>
          </w:tcPr>
          <w:p w14:paraId="56D7990A" w14:textId="77777777" w:rsidR="00633DD1" w:rsidRDefault="00000000">
            <w:pPr>
              <w:keepNext/>
              <w:keepLines/>
              <w:spacing w:after="0" w:line="240" w:lineRule="auto"/>
            </w:pPr>
            <w:r>
              <w:rPr>
                <w:sz w:val="18"/>
              </w:rPr>
              <w:t>4</w:t>
            </w:r>
          </w:p>
        </w:tc>
        <w:tc>
          <w:tcPr>
            <w:tcW w:w="3180" w:type="dxa"/>
            <w:tcMar>
              <w:top w:w="0" w:type="dxa"/>
              <w:bottom w:w="0" w:type="dxa"/>
            </w:tcMar>
            <w:vAlign w:val="center"/>
          </w:tcPr>
          <w:p w14:paraId="2816F4B1" w14:textId="77777777" w:rsidR="00633DD1"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3B5FEE6" w14:textId="77777777" w:rsidR="00633DD1" w:rsidRDefault="00000000">
            <w:pPr>
              <w:keepNext/>
              <w:keepLines/>
              <w:spacing w:after="0" w:line="240" w:lineRule="auto"/>
            </w:pPr>
            <w:r>
              <w:rPr>
                <w:sz w:val="18"/>
              </w:rPr>
              <w:t>4</w:t>
            </w:r>
          </w:p>
        </w:tc>
        <w:tc>
          <w:tcPr>
            <w:tcW w:w="1860" w:type="dxa"/>
            <w:tcMar>
              <w:top w:w="0" w:type="dxa"/>
              <w:bottom w:w="0" w:type="dxa"/>
            </w:tcMar>
            <w:vAlign w:val="center"/>
          </w:tcPr>
          <w:p w14:paraId="480073CD" w14:textId="77777777" w:rsidR="00633DD1" w:rsidRDefault="00000000">
            <w:pPr>
              <w:keepNext/>
              <w:keepLines/>
              <w:spacing w:after="0" w:line="240" w:lineRule="auto"/>
              <w:jc w:val="right"/>
            </w:pPr>
            <w:r>
              <w:rPr>
                <w:sz w:val="18"/>
              </w:rPr>
              <w:t>460.211,45</w:t>
            </w:r>
          </w:p>
        </w:tc>
        <w:tc>
          <w:tcPr>
            <w:tcW w:w="1860" w:type="dxa"/>
            <w:tcMar>
              <w:top w:w="0" w:type="dxa"/>
              <w:bottom w:w="0" w:type="dxa"/>
            </w:tcMar>
            <w:vAlign w:val="center"/>
          </w:tcPr>
          <w:p w14:paraId="54676CCB" w14:textId="77777777" w:rsidR="00633DD1" w:rsidRDefault="00000000">
            <w:pPr>
              <w:keepNext/>
              <w:keepLines/>
              <w:spacing w:after="0" w:line="240" w:lineRule="auto"/>
              <w:jc w:val="right"/>
            </w:pPr>
            <w:r>
              <w:rPr>
                <w:sz w:val="18"/>
              </w:rPr>
              <w:t>429.378,29</w:t>
            </w:r>
          </w:p>
        </w:tc>
        <w:tc>
          <w:tcPr>
            <w:tcW w:w="700" w:type="dxa"/>
            <w:tcMar>
              <w:top w:w="0" w:type="dxa"/>
              <w:bottom w:w="0" w:type="dxa"/>
            </w:tcMar>
            <w:vAlign w:val="center"/>
          </w:tcPr>
          <w:p w14:paraId="1EC5821D" w14:textId="77777777" w:rsidR="00633DD1" w:rsidRDefault="00000000">
            <w:pPr>
              <w:keepNext/>
              <w:keepLines/>
              <w:spacing w:after="0" w:line="240" w:lineRule="auto"/>
              <w:jc w:val="right"/>
            </w:pPr>
            <w:r>
              <w:rPr>
                <w:sz w:val="18"/>
              </w:rPr>
              <w:t>93,3</w:t>
            </w:r>
          </w:p>
        </w:tc>
      </w:tr>
      <w:tr w:rsidR="00633DD1" w14:paraId="3275C77F" w14:textId="77777777">
        <w:tblPrEx>
          <w:tblCellMar>
            <w:top w:w="0" w:type="dxa"/>
            <w:bottom w:w="0" w:type="dxa"/>
          </w:tblCellMar>
        </w:tblPrEx>
        <w:trPr>
          <w:cantSplit/>
          <w:trHeight w:val="560"/>
        </w:trPr>
        <w:tc>
          <w:tcPr>
            <w:tcW w:w="700" w:type="dxa"/>
            <w:tcMar>
              <w:top w:w="0" w:type="dxa"/>
              <w:bottom w:w="0" w:type="dxa"/>
            </w:tcMar>
            <w:vAlign w:val="center"/>
          </w:tcPr>
          <w:p w14:paraId="7069EEE1" w14:textId="77777777" w:rsidR="00633DD1" w:rsidRDefault="00633DD1">
            <w:pPr>
              <w:keepNext/>
              <w:keepLines/>
              <w:spacing w:after="0" w:line="240" w:lineRule="auto"/>
            </w:pPr>
          </w:p>
        </w:tc>
        <w:tc>
          <w:tcPr>
            <w:tcW w:w="3180" w:type="dxa"/>
            <w:tcMar>
              <w:top w:w="0" w:type="dxa"/>
              <w:bottom w:w="0" w:type="dxa"/>
            </w:tcMar>
            <w:vAlign w:val="center"/>
          </w:tcPr>
          <w:p w14:paraId="2AFE24F3" w14:textId="77777777" w:rsidR="00633DD1"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2DC57D0" w14:textId="77777777" w:rsidR="00633DD1" w:rsidRDefault="00000000">
            <w:pPr>
              <w:keepNext/>
              <w:keepLines/>
              <w:spacing w:after="0" w:line="240" w:lineRule="auto"/>
            </w:pPr>
            <w:r>
              <w:rPr>
                <w:b/>
                <w:sz w:val="18"/>
              </w:rPr>
              <w:t>Y002</w:t>
            </w:r>
          </w:p>
        </w:tc>
        <w:tc>
          <w:tcPr>
            <w:tcW w:w="1860" w:type="dxa"/>
            <w:tcMar>
              <w:top w:w="0" w:type="dxa"/>
              <w:bottom w:w="0" w:type="dxa"/>
            </w:tcMar>
            <w:vAlign w:val="center"/>
          </w:tcPr>
          <w:p w14:paraId="0A21C917" w14:textId="77777777" w:rsidR="00633DD1" w:rsidRDefault="00000000">
            <w:pPr>
              <w:keepNext/>
              <w:keepLines/>
              <w:spacing w:after="0" w:line="240" w:lineRule="auto"/>
              <w:jc w:val="right"/>
            </w:pPr>
            <w:r>
              <w:rPr>
                <w:b/>
                <w:sz w:val="18"/>
              </w:rPr>
              <w:t>459.701,18</w:t>
            </w:r>
          </w:p>
        </w:tc>
        <w:tc>
          <w:tcPr>
            <w:tcW w:w="1860" w:type="dxa"/>
            <w:tcMar>
              <w:top w:w="0" w:type="dxa"/>
              <w:bottom w:w="0" w:type="dxa"/>
            </w:tcMar>
            <w:vAlign w:val="center"/>
          </w:tcPr>
          <w:p w14:paraId="4D2C3B04" w14:textId="77777777" w:rsidR="00633DD1" w:rsidRDefault="00000000">
            <w:pPr>
              <w:keepNext/>
              <w:keepLines/>
              <w:spacing w:after="0" w:line="240" w:lineRule="auto"/>
              <w:jc w:val="right"/>
            </w:pPr>
            <w:r>
              <w:rPr>
                <w:b/>
                <w:sz w:val="18"/>
              </w:rPr>
              <w:t>429.378,29</w:t>
            </w:r>
          </w:p>
        </w:tc>
        <w:tc>
          <w:tcPr>
            <w:tcW w:w="700" w:type="dxa"/>
            <w:tcMar>
              <w:top w:w="0" w:type="dxa"/>
              <w:bottom w:w="0" w:type="dxa"/>
            </w:tcMar>
            <w:vAlign w:val="center"/>
          </w:tcPr>
          <w:p w14:paraId="34E0E31E" w14:textId="77777777" w:rsidR="00633DD1" w:rsidRDefault="00000000">
            <w:pPr>
              <w:keepNext/>
              <w:keepLines/>
              <w:spacing w:after="0" w:line="240" w:lineRule="auto"/>
              <w:jc w:val="right"/>
            </w:pPr>
            <w:r>
              <w:rPr>
                <w:b/>
                <w:sz w:val="18"/>
              </w:rPr>
              <w:t>93,4</w:t>
            </w:r>
          </w:p>
        </w:tc>
      </w:tr>
      <w:tr w:rsidR="00633DD1" w14:paraId="421CF49C" w14:textId="77777777">
        <w:tblPrEx>
          <w:tblCellMar>
            <w:top w:w="0" w:type="dxa"/>
            <w:bottom w:w="0" w:type="dxa"/>
          </w:tblCellMar>
        </w:tblPrEx>
        <w:trPr>
          <w:cantSplit/>
          <w:trHeight w:val="560"/>
        </w:trPr>
        <w:tc>
          <w:tcPr>
            <w:tcW w:w="700" w:type="dxa"/>
            <w:tcMar>
              <w:top w:w="0" w:type="dxa"/>
              <w:bottom w:w="0" w:type="dxa"/>
            </w:tcMar>
            <w:vAlign w:val="center"/>
          </w:tcPr>
          <w:p w14:paraId="6B73258E" w14:textId="77777777" w:rsidR="00633DD1" w:rsidRDefault="00000000">
            <w:pPr>
              <w:keepNext/>
              <w:keepLines/>
              <w:spacing w:after="0" w:line="240" w:lineRule="auto"/>
            </w:pPr>
            <w:r>
              <w:rPr>
                <w:sz w:val="18"/>
              </w:rPr>
              <w:t>8</w:t>
            </w:r>
          </w:p>
        </w:tc>
        <w:tc>
          <w:tcPr>
            <w:tcW w:w="3180" w:type="dxa"/>
            <w:tcMar>
              <w:top w:w="0" w:type="dxa"/>
              <w:bottom w:w="0" w:type="dxa"/>
            </w:tcMar>
            <w:vAlign w:val="center"/>
          </w:tcPr>
          <w:p w14:paraId="3B74B14C" w14:textId="77777777" w:rsidR="00633DD1"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6C27C11" w14:textId="77777777" w:rsidR="00633DD1" w:rsidRDefault="00000000">
            <w:pPr>
              <w:keepNext/>
              <w:keepLines/>
              <w:spacing w:after="0" w:line="240" w:lineRule="auto"/>
            </w:pPr>
            <w:r>
              <w:rPr>
                <w:sz w:val="18"/>
              </w:rPr>
              <w:t>8</w:t>
            </w:r>
          </w:p>
        </w:tc>
        <w:tc>
          <w:tcPr>
            <w:tcW w:w="1860" w:type="dxa"/>
            <w:tcMar>
              <w:top w:w="0" w:type="dxa"/>
              <w:bottom w:w="0" w:type="dxa"/>
            </w:tcMar>
            <w:vAlign w:val="center"/>
          </w:tcPr>
          <w:p w14:paraId="6E1E4847" w14:textId="77777777" w:rsidR="00633DD1" w:rsidRDefault="00000000">
            <w:pPr>
              <w:keepNext/>
              <w:keepLines/>
              <w:spacing w:after="0" w:line="240" w:lineRule="auto"/>
              <w:jc w:val="right"/>
            </w:pPr>
            <w:r>
              <w:rPr>
                <w:sz w:val="18"/>
              </w:rPr>
              <w:t>0,00</w:t>
            </w:r>
          </w:p>
        </w:tc>
        <w:tc>
          <w:tcPr>
            <w:tcW w:w="1860" w:type="dxa"/>
            <w:tcMar>
              <w:top w:w="0" w:type="dxa"/>
              <w:bottom w:w="0" w:type="dxa"/>
            </w:tcMar>
            <w:vAlign w:val="center"/>
          </w:tcPr>
          <w:p w14:paraId="1AC7BD29" w14:textId="77777777" w:rsidR="00633DD1" w:rsidRDefault="00000000">
            <w:pPr>
              <w:keepNext/>
              <w:keepLines/>
              <w:spacing w:after="0" w:line="240" w:lineRule="auto"/>
              <w:jc w:val="right"/>
            </w:pPr>
            <w:r>
              <w:rPr>
                <w:sz w:val="18"/>
              </w:rPr>
              <w:t>0,00</w:t>
            </w:r>
          </w:p>
        </w:tc>
        <w:tc>
          <w:tcPr>
            <w:tcW w:w="700" w:type="dxa"/>
            <w:tcMar>
              <w:top w:w="0" w:type="dxa"/>
              <w:bottom w:w="0" w:type="dxa"/>
            </w:tcMar>
            <w:vAlign w:val="center"/>
          </w:tcPr>
          <w:p w14:paraId="7BB0A0FD" w14:textId="77777777" w:rsidR="00633DD1" w:rsidRDefault="00000000">
            <w:pPr>
              <w:keepNext/>
              <w:keepLines/>
              <w:spacing w:after="0" w:line="240" w:lineRule="auto"/>
              <w:jc w:val="right"/>
            </w:pPr>
            <w:r>
              <w:rPr>
                <w:sz w:val="18"/>
              </w:rPr>
              <w:t>-</w:t>
            </w:r>
          </w:p>
        </w:tc>
      </w:tr>
      <w:tr w:rsidR="00633DD1" w14:paraId="569FC697" w14:textId="77777777">
        <w:tblPrEx>
          <w:tblCellMar>
            <w:top w:w="0" w:type="dxa"/>
            <w:bottom w:w="0" w:type="dxa"/>
          </w:tblCellMar>
        </w:tblPrEx>
        <w:trPr>
          <w:cantSplit/>
          <w:trHeight w:val="560"/>
        </w:trPr>
        <w:tc>
          <w:tcPr>
            <w:tcW w:w="700" w:type="dxa"/>
            <w:tcMar>
              <w:top w:w="0" w:type="dxa"/>
              <w:bottom w:w="0" w:type="dxa"/>
            </w:tcMar>
            <w:vAlign w:val="center"/>
          </w:tcPr>
          <w:p w14:paraId="6BE0D152" w14:textId="77777777" w:rsidR="00633DD1" w:rsidRDefault="00000000">
            <w:pPr>
              <w:keepNext/>
              <w:keepLines/>
              <w:spacing w:after="0" w:line="240" w:lineRule="auto"/>
            </w:pPr>
            <w:r>
              <w:rPr>
                <w:sz w:val="18"/>
              </w:rPr>
              <w:t>5</w:t>
            </w:r>
          </w:p>
        </w:tc>
        <w:tc>
          <w:tcPr>
            <w:tcW w:w="3180" w:type="dxa"/>
            <w:tcMar>
              <w:top w:w="0" w:type="dxa"/>
              <w:bottom w:w="0" w:type="dxa"/>
            </w:tcMar>
            <w:vAlign w:val="center"/>
          </w:tcPr>
          <w:p w14:paraId="2ACB3006" w14:textId="77777777" w:rsidR="00633DD1"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4FFE2C1F" w14:textId="77777777" w:rsidR="00633DD1" w:rsidRDefault="00000000">
            <w:pPr>
              <w:keepNext/>
              <w:keepLines/>
              <w:spacing w:after="0" w:line="240" w:lineRule="auto"/>
            </w:pPr>
            <w:r>
              <w:rPr>
                <w:sz w:val="18"/>
              </w:rPr>
              <w:t>5</w:t>
            </w:r>
          </w:p>
        </w:tc>
        <w:tc>
          <w:tcPr>
            <w:tcW w:w="1860" w:type="dxa"/>
            <w:tcMar>
              <w:top w:w="0" w:type="dxa"/>
              <w:bottom w:w="0" w:type="dxa"/>
            </w:tcMar>
            <w:vAlign w:val="center"/>
          </w:tcPr>
          <w:p w14:paraId="64EF8836" w14:textId="77777777" w:rsidR="00633DD1" w:rsidRDefault="00000000">
            <w:pPr>
              <w:keepNext/>
              <w:keepLines/>
              <w:spacing w:after="0" w:line="240" w:lineRule="auto"/>
              <w:jc w:val="right"/>
            </w:pPr>
            <w:r>
              <w:rPr>
                <w:sz w:val="18"/>
              </w:rPr>
              <w:t>0,00</w:t>
            </w:r>
          </w:p>
        </w:tc>
        <w:tc>
          <w:tcPr>
            <w:tcW w:w="1860" w:type="dxa"/>
            <w:tcMar>
              <w:top w:w="0" w:type="dxa"/>
              <w:bottom w:w="0" w:type="dxa"/>
            </w:tcMar>
            <w:vAlign w:val="center"/>
          </w:tcPr>
          <w:p w14:paraId="54496F7C" w14:textId="77777777" w:rsidR="00633DD1" w:rsidRDefault="00000000">
            <w:pPr>
              <w:keepNext/>
              <w:keepLines/>
              <w:spacing w:after="0" w:line="240" w:lineRule="auto"/>
              <w:jc w:val="right"/>
            </w:pPr>
            <w:r>
              <w:rPr>
                <w:sz w:val="18"/>
              </w:rPr>
              <w:t>0,00</w:t>
            </w:r>
          </w:p>
        </w:tc>
        <w:tc>
          <w:tcPr>
            <w:tcW w:w="700" w:type="dxa"/>
            <w:tcMar>
              <w:top w:w="0" w:type="dxa"/>
              <w:bottom w:w="0" w:type="dxa"/>
            </w:tcMar>
            <w:vAlign w:val="center"/>
          </w:tcPr>
          <w:p w14:paraId="2046C928" w14:textId="77777777" w:rsidR="00633DD1" w:rsidRDefault="00000000">
            <w:pPr>
              <w:keepNext/>
              <w:keepLines/>
              <w:spacing w:after="0" w:line="240" w:lineRule="auto"/>
              <w:jc w:val="right"/>
            </w:pPr>
            <w:r>
              <w:rPr>
                <w:sz w:val="18"/>
              </w:rPr>
              <w:t>-</w:t>
            </w:r>
          </w:p>
        </w:tc>
      </w:tr>
      <w:tr w:rsidR="00633DD1" w14:paraId="7C86B876" w14:textId="77777777">
        <w:tblPrEx>
          <w:tblCellMar>
            <w:top w:w="0" w:type="dxa"/>
            <w:bottom w:w="0" w:type="dxa"/>
          </w:tblCellMar>
        </w:tblPrEx>
        <w:trPr>
          <w:cantSplit/>
          <w:trHeight w:val="560"/>
        </w:trPr>
        <w:tc>
          <w:tcPr>
            <w:tcW w:w="700" w:type="dxa"/>
            <w:tcMar>
              <w:top w:w="0" w:type="dxa"/>
              <w:bottom w:w="0" w:type="dxa"/>
            </w:tcMar>
            <w:vAlign w:val="center"/>
          </w:tcPr>
          <w:p w14:paraId="4A927E80" w14:textId="77777777" w:rsidR="00633DD1" w:rsidRDefault="00633DD1">
            <w:pPr>
              <w:keepNext/>
              <w:keepLines/>
              <w:spacing w:after="0" w:line="240" w:lineRule="auto"/>
            </w:pPr>
          </w:p>
        </w:tc>
        <w:tc>
          <w:tcPr>
            <w:tcW w:w="3180" w:type="dxa"/>
            <w:tcMar>
              <w:top w:w="0" w:type="dxa"/>
              <w:bottom w:w="0" w:type="dxa"/>
            </w:tcMar>
            <w:vAlign w:val="center"/>
          </w:tcPr>
          <w:p w14:paraId="710BC0B3" w14:textId="77777777" w:rsidR="00633DD1"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AEC88D0" w14:textId="77777777" w:rsidR="00633DD1" w:rsidRDefault="00000000">
            <w:pPr>
              <w:keepNext/>
              <w:keepLines/>
              <w:spacing w:after="0" w:line="240" w:lineRule="auto"/>
            </w:pPr>
            <w:r>
              <w:rPr>
                <w:b/>
                <w:sz w:val="18"/>
              </w:rPr>
              <w:t>X003, Y003</w:t>
            </w:r>
          </w:p>
        </w:tc>
        <w:tc>
          <w:tcPr>
            <w:tcW w:w="1860" w:type="dxa"/>
            <w:tcMar>
              <w:top w:w="0" w:type="dxa"/>
              <w:bottom w:w="0" w:type="dxa"/>
            </w:tcMar>
            <w:vAlign w:val="center"/>
          </w:tcPr>
          <w:p w14:paraId="0F498216" w14:textId="77777777" w:rsidR="00633DD1" w:rsidRDefault="00000000">
            <w:pPr>
              <w:keepNext/>
              <w:keepLines/>
              <w:spacing w:after="0" w:line="240" w:lineRule="auto"/>
              <w:jc w:val="right"/>
            </w:pPr>
            <w:r>
              <w:rPr>
                <w:b/>
                <w:sz w:val="18"/>
              </w:rPr>
              <w:t>0,00</w:t>
            </w:r>
          </w:p>
        </w:tc>
        <w:tc>
          <w:tcPr>
            <w:tcW w:w="1860" w:type="dxa"/>
            <w:tcMar>
              <w:top w:w="0" w:type="dxa"/>
              <w:bottom w:w="0" w:type="dxa"/>
            </w:tcMar>
            <w:vAlign w:val="center"/>
          </w:tcPr>
          <w:p w14:paraId="12103679" w14:textId="77777777" w:rsidR="00633DD1" w:rsidRDefault="00000000">
            <w:pPr>
              <w:keepNext/>
              <w:keepLines/>
              <w:spacing w:after="0" w:line="240" w:lineRule="auto"/>
              <w:jc w:val="right"/>
            </w:pPr>
            <w:r>
              <w:rPr>
                <w:b/>
                <w:sz w:val="18"/>
              </w:rPr>
              <w:t>0,00</w:t>
            </w:r>
          </w:p>
        </w:tc>
        <w:tc>
          <w:tcPr>
            <w:tcW w:w="700" w:type="dxa"/>
            <w:tcMar>
              <w:top w:w="0" w:type="dxa"/>
              <w:bottom w:w="0" w:type="dxa"/>
            </w:tcMar>
            <w:vAlign w:val="center"/>
          </w:tcPr>
          <w:p w14:paraId="13068771" w14:textId="77777777" w:rsidR="00633DD1" w:rsidRDefault="00000000">
            <w:pPr>
              <w:keepNext/>
              <w:keepLines/>
              <w:spacing w:after="0" w:line="240" w:lineRule="auto"/>
              <w:jc w:val="right"/>
            </w:pPr>
            <w:r>
              <w:rPr>
                <w:b/>
                <w:sz w:val="18"/>
              </w:rPr>
              <w:t>-</w:t>
            </w:r>
          </w:p>
        </w:tc>
      </w:tr>
      <w:tr w:rsidR="00633DD1" w14:paraId="51F9B141" w14:textId="77777777">
        <w:tblPrEx>
          <w:tblCellMar>
            <w:top w:w="0" w:type="dxa"/>
            <w:bottom w:w="0" w:type="dxa"/>
          </w:tblCellMar>
        </w:tblPrEx>
        <w:trPr>
          <w:cantSplit/>
          <w:trHeight w:val="560"/>
        </w:trPr>
        <w:tc>
          <w:tcPr>
            <w:tcW w:w="700" w:type="dxa"/>
            <w:tcMar>
              <w:top w:w="0" w:type="dxa"/>
              <w:bottom w:w="0" w:type="dxa"/>
            </w:tcMar>
            <w:vAlign w:val="center"/>
          </w:tcPr>
          <w:p w14:paraId="575F92D5" w14:textId="77777777" w:rsidR="00633DD1" w:rsidRDefault="00633DD1">
            <w:pPr>
              <w:keepNext/>
              <w:keepLines/>
              <w:spacing w:after="0" w:line="240" w:lineRule="auto"/>
            </w:pPr>
          </w:p>
        </w:tc>
        <w:tc>
          <w:tcPr>
            <w:tcW w:w="3180" w:type="dxa"/>
            <w:tcMar>
              <w:top w:w="0" w:type="dxa"/>
              <w:bottom w:w="0" w:type="dxa"/>
            </w:tcMar>
            <w:vAlign w:val="center"/>
          </w:tcPr>
          <w:p w14:paraId="0890DAE9" w14:textId="77777777" w:rsidR="00633DD1"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382AD4D7" w14:textId="77777777" w:rsidR="00633DD1" w:rsidRDefault="00000000">
            <w:pPr>
              <w:keepNext/>
              <w:keepLines/>
              <w:spacing w:after="0" w:line="240" w:lineRule="auto"/>
            </w:pPr>
            <w:r>
              <w:rPr>
                <w:b/>
                <w:sz w:val="18"/>
              </w:rPr>
              <w:t>Y005</w:t>
            </w:r>
          </w:p>
        </w:tc>
        <w:tc>
          <w:tcPr>
            <w:tcW w:w="1860" w:type="dxa"/>
            <w:tcMar>
              <w:top w:w="0" w:type="dxa"/>
              <w:bottom w:w="0" w:type="dxa"/>
            </w:tcMar>
            <w:vAlign w:val="center"/>
          </w:tcPr>
          <w:p w14:paraId="5E341EC9" w14:textId="77777777" w:rsidR="00633DD1" w:rsidRDefault="00000000">
            <w:pPr>
              <w:keepNext/>
              <w:keepLines/>
              <w:spacing w:after="0" w:line="240" w:lineRule="auto"/>
              <w:jc w:val="right"/>
            </w:pPr>
            <w:r>
              <w:rPr>
                <w:b/>
                <w:sz w:val="18"/>
              </w:rPr>
              <w:t>207.502,56</w:t>
            </w:r>
          </w:p>
        </w:tc>
        <w:tc>
          <w:tcPr>
            <w:tcW w:w="1860" w:type="dxa"/>
            <w:tcMar>
              <w:top w:w="0" w:type="dxa"/>
              <w:bottom w:w="0" w:type="dxa"/>
            </w:tcMar>
            <w:vAlign w:val="center"/>
          </w:tcPr>
          <w:p w14:paraId="108DE754" w14:textId="77777777" w:rsidR="00633DD1" w:rsidRDefault="00000000">
            <w:pPr>
              <w:keepNext/>
              <w:keepLines/>
              <w:spacing w:after="0" w:line="240" w:lineRule="auto"/>
              <w:jc w:val="right"/>
            </w:pPr>
            <w:r>
              <w:rPr>
                <w:b/>
                <w:sz w:val="18"/>
              </w:rPr>
              <w:t>90.197,24</w:t>
            </w:r>
          </w:p>
        </w:tc>
        <w:tc>
          <w:tcPr>
            <w:tcW w:w="700" w:type="dxa"/>
            <w:tcMar>
              <w:top w:w="0" w:type="dxa"/>
              <w:bottom w:w="0" w:type="dxa"/>
            </w:tcMar>
            <w:vAlign w:val="center"/>
          </w:tcPr>
          <w:p w14:paraId="2EF040FB" w14:textId="77777777" w:rsidR="00633DD1" w:rsidRDefault="00000000">
            <w:pPr>
              <w:keepNext/>
              <w:keepLines/>
              <w:spacing w:after="0" w:line="240" w:lineRule="auto"/>
              <w:jc w:val="right"/>
            </w:pPr>
            <w:r>
              <w:rPr>
                <w:b/>
                <w:sz w:val="18"/>
              </w:rPr>
              <w:t>43,5</w:t>
            </w:r>
          </w:p>
        </w:tc>
      </w:tr>
    </w:tbl>
    <w:p w14:paraId="7311DCCF" w14:textId="77777777" w:rsidR="00633DD1" w:rsidRDefault="00633DD1">
      <w:pPr>
        <w:spacing w:after="0"/>
      </w:pPr>
    </w:p>
    <w:p w14:paraId="0F50D502" w14:textId="77777777" w:rsidR="00633DD1" w:rsidRDefault="00000000">
      <w:r>
        <w:t>Prihodi poslovanja u ovom izvještajnim razdoblju su veći za 18,3% u odnosu na prošlogodišnje izvještajno razdoblje iz razloga što je radi povećanja minimalne plaće veća uplata poreza na dohodak. Tokom cijele godine se provodio projekat Brižne ruke podravske pa je veći prihod od nositelja projekta. Veće su kapitalne pomoći za realizirane projekte. Najznačajnije je povećanje šumskog doprinosa radi velike količine rušenja na našem području. </w:t>
      </w:r>
    </w:p>
    <w:p w14:paraId="2B085F1B" w14:textId="77777777" w:rsidR="00633DD1" w:rsidRDefault="00000000">
      <w:r>
        <w:lastRenderedPageBreak/>
        <w:t> Rashodi poslovanja u ovom izvještajnom razdoblju su veći za 14,2% u odnosu na prošlogodišnje izvještajno razdoblje budući da je došlo do povećanja osnovice za obračun plaće pa su veći rashodi bruto plaća i obveznih doprinosa, veći je prijenos sredstava proračunskom korisniku dječjem vrtiću Košutica Ferdinandovac.</w:t>
      </w:r>
    </w:p>
    <w:p w14:paraId="7B355D2E" w14:textId="77777777" w:rsidR="00633DD1" w:rsidRDefault="00000000">
      <w:r>
        <w:t>Tokom ovog izvještajnog razdoblja ostvaren je manjak prihoda i primitaka u iznosu 90.197,24 €, preneseni višak prihoda i primitaka iz prethodne godine iznosi 81.446,25 € iz čega proizlazi manjak prihoda i primitaka za pokriće u slijedećem razdoblju u iznosu 8.750,99 €.</w:t>
      </w:r>
    </w:p>
    <w:p w14:paraId="4944ADC3" w14:textId="77777777" w:rsidR="00633DD1" w:rsidRDefault="00000000">
      <w:r>
        <w:br/>
      </w:r>
    </w:p>
    <w:p w14:paraId="6ACAFC03" w14:textId="77777777" w:rsidR="00633DD1"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5BA975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32E7B2"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EF3AA8"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AA1234"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892032"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A4E6B2"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330DE8" w14:textId="77777777" w:rsidR="00633DD1" w:rsidRDefault="00000000">
            <w:pPr>
              <w:keepNext/>
              <w:keepLines/>
              <w:spacing w:after="0" w:line="240" w:lineRule="auto"/>
              <w:jc w:val="center"/>
            </w:pPr>
            <w:r>
              <w:rPr>
                <w:b/>
                <w:sz w:val="18"/>
              </w:rPr>
              <w:t>Indeks (%)</w:t>
            </w:r>
          </w:p>
        </w:tc>
      </w:tr>
      <w:tr w:rsidR="00633DD1" w14:paraId="1AF43D71" w14:textId="77777777">
        <w:tblPrEx>
          <w:tblCellMar>
            <w:top w:w="0" w:type="dxa"/>
            <w:bottom w:w="0" w:type="dxa"/>
          </w:tblCellMar>
        </w:tblPrEx>
        <w:trPr>
          <w:cantSplit/>
          <w:trHeight w:val="560"/>
        </w:trPr>
        <w:tc>
          <w:tcPr>
            <w:tcW w:w="700" w:type="dxa"/>
            <w:tcMar>
              <w:top w:w="0" w:type="dxa"/>
              <w:bottom w:w="0" w:type="dxa"/>
            </w:tcMar>
            <w:vAlign w:val="center"/>
          </w:tcPr>
          <w:p w14:paraId="0F1D7CC9" w14:textId="77777777" w:rsidR="00633DD1" w:rsidRDefault="00000000">
            <w:pPr>
              <w:keepNext/>
              <w:keepLines/>
              <w:spacing w:after="0" w:line="240" w:lineRule="auto"/>
            </w:pPr>
            <w:r>
              <w:rPr>
                <w:sz w:val="18"/>
              </w:rPr>
              <w:t>6111</w:t>
            </w:r>
          </w:p>
        </w:tc>
        <w:tc>
          <w:tcPr>
            <w:tcW w:w="3180" w:type="dxa"/>
            <w:tcMar>
              <w:top w:w="0" w:type="dxa"/>
              <w:bottom w:w="0" w:type="dxa"/>
            </w:tcMar>
            <w:vAlign w:val="center"/>
          </w:tcPr>
          <w:p w14:paraId="7948D846" w14:textId="77777777" w:rsidR="00633DD1"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7A9DEA8A" w14:textId="77777777" w:rsidR="00633DD1" w:rsidRDefault="00000000">
            <w:pPr>
              <w:keepNext/>
              <w:keepLines/>
              <w:spacing w:after="0" w:line="240" w:lineRule="auto"/>
            </w:pPr>
            <w:r>
              <w:rPr>
                <w:sz w:val="18"/>
              </w:rPr>
              <w:t>6111</w:t>
            </w:r>
          </w:p>
        </w:tc>
        <w:tc>
          <w:tcPr>
            <w:tcW w:w="1860" w:type="dxa"/>
            <w:tcMar>
              <w:top w:w="0" w:type="dxa"/>
              <w:bottom w:w="0" w:type="dxa"/>
            </w:tcMar>
            <w:vAlign w:val="center"/>
          </w:tcPr>
          <w:p w14:paraId="173BACBE" w14:textId="77777777" w:rsidR="00633DD1" w:rsidRDefault="00000000">
            <w:pPr>
              <w:keepNext/>
              <w:keepLines/>
              <w:spacing w:after="0" w:line="240" w:lineRule="auto"/>
              <w:jc w:val="right"/>
            </w:pPr>
            <w:r>
              <w:rPr>
                <w:sz w:val="18"/>
              </w:rPr>
              <w:t>322.190,20</w:t>
            </w:r>
          </w:p>
        </w:tc>
        <w:tc>
          <w:tcPr>
            <w:tcW w:w="1860" w:type="dxa"/>
            <w:tcMar>
              <w:top w:w="0" w:type="dxa"/>
              <w:bottom w:w="0" w:type="dxa"/>
            </w:tcMar>
            <w:vAlign w:val="center"/>
          </w:tcPr>
          <w:p w14:paraId="675EAB32" w14:textId="77777777" w:rsidR="00633DD1" w:rsidRDefault="00000000">
            <w:pPr>
              <w:keepNext/>
              <w:keepLines/>
              <w:spacing w:after="0" w:line="240" w:lineRule="auto"/>
              <w:jc w:val="right"/>
            </w:pPr>
            <w:r>
              <w:rPr>
                <w:sz w:val="18"/>
              </w:rPr>
              <w:t>386.048,28</w:t>
            </w:r>
          </w:p>
        </w:tc>
        <w:tc>
          <w:tcPr>
            <w:tcW w:w="700" w:type="dxa"/>
            <w:tcMar>
              <w:top w:w="0" w:type="dxa"/>
              <w:bottom w:w="0" w:type="dxa"/>
            </w:tcMar>
            <w:vAlign w:val="center"/>
          </w:tcPr>
          <w:p w14:paraId="35DA8384" w14:textId="77777777" w:rsidR="00633DD1" w:rsidRDefault="00000000">
            <w:pPr>
              <w:keepNext/>
              <w:keepLines/>
              <w:spacing w:after="0" w:line="240" w:lineRule="auto"/>
              <w:jc w:val="right"/>
            </w:pPr>
            <w:r>
              <w:rPr>
                <w:sz w:val="18"/>
              </w:rPr>
              <w:t>119,8</w:t>
            </w:r>
          </w:p>
        </w:tc>
      </w:tr>
    </w:tbl>
    <w:p w14:paraId="26E5CD67" w14:textId="77777777" w:rsidR="00633DD1" w:rsidRDefault="00633DD1">
      <w:pPr>
        <w:spacing w:after="0"/>
      </w:pPr>
    </w:p>
    <w:p w14:paraId="5905A87B" w14:textId="77777777" w:rsidR="00633DD1" w:rsidRDefault="00000000">
      <w:r>
        <w:t>Povećanje je prihoda poreza na dohodak od nesamostalnog rada za 19,8% radi povećanja minimalne plaće.</w:t>
      </w:r>
    </w:p>
    <w:p w14:paraId="491D5C23" w14:textId="77777777" w:rsidR="00633DD1" w:rsidRDefault="00633DD1"/>
    <w:p w14:paraId="0664824F" w14:textId="77777777" w:rsidR="00633DD1"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1E409B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E7D123"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4F0DA5"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3CB5C4B"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A06B8F"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4B1D46"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AED57B" w14:textId="77777777" w:rsidR="00633DD1" w:rsidRDefault="00000000">
            <w:pPr>
              <w:keepNext/>
              <w:keepLines/>
              <w:spacing w:after="0" w:line="240" w:lineRule="auto"/>
              <w:jc w:val="center"/>
            </w:pPr>
            <w:r>
              <w:rPr>
                <w:b/>
                <w:sz w:val="18"/>
              </w:rPr>
              <w:t>Indeks (%)</w:t>
            </w:r>
          </w:p>
        </w:tc>
      </w:tr>
      <w:tr w:rsidR="00633DD1" w14:paraId="48A89FEB" w14:textId="77777777">
        <w:tblPrEx>
          <w:tblCellMar>
            <w:top w:w="0" w:type="dxa"/>
            <w:bottom w:w="0" w:type="dxa"/>
          </w:tblCellMar>
        </w:tblPrEx>
        <w:trPr>
          <w:cantSplit/>
          <w:trHeight w:val="560"/>
        </w:trPr>
        <w:tc>
          <w:tcPr>
            <w:tcW w:w="700" w:type="dxa"/>
            <w:tcMar>
              <w:top w:w="0" w:type="dxa"/>
              <w:bottom w:w="0" w:type="dxa"/>
            </w:tcMar>
            <w:vAlign w:val="center"/>
          </w:tcPr>
          <w:p w14:paraId="2F9503CC" w14:textId="77777777" w:rsidR="00633DD1" w:rsidRDefault="00000000">
            <w:pPr>
              <w:keepNext/>
              <w:keepLines/>
              <w:spacing w:after="0" w:line="240" w:lineRule="auto"/>
            </w:pPr>
            <w:r>
              <w:rPr>
                <w:sz w:val="18"/>
              </w:rPr>
              <w:t>613</w:t>
            </w:r>
          </w:p>
        </w:tc>
        <w:tc>
          <w:tcPr>
            <w:tcW w:w="3180" w:type="dxa"/>
            <w:tcMar>
              <w:top w:w="0" w:type="dxa"/>
              <w:bottom w:w="0" w:type="dxa"/>
            </w:tcMar>
            <w:vAlign w:val="center"/>
          </w:tcPr>
          <w:p w14:paraId="02BF67C1" w14:textId="77777777" w:rsidR="00633DD1"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03FC04E6" w14:textId="77777777" w:rsidR="00633DD1" w:rsidRDefault="00000000">
            <w:pPr>
              <w:keepNext/>
              <w:keepLines/>
              <w:spacing w:after="0" w:line="240" w:lineRule="auto"/>
            </w:pPr>
            <w:r>
              <w:rPr>
                <w:sz w:val="18"/>
              </w:rPr>
              <w:t>613</w:t>
            </w:r>
          </w:p>
        </w:tc>
        <w:tc>
          <w:tcPr>
            <w:tcW w:w="1860" w:type="dxa"/>
            <w:tcMar>
              <w:top w:w="0" w:type="dxa"/>
              <w:bottom w:w="0" w:type="dxa"/>
            </w:tcMar>
            <w:vAlign w:val="center"/>
          </w:tcPr>
          <w:p w14:paraId="76549E5B" w14:textId="77777777" w:rsidR="00633DD1" w:rsidRDefault="00000000">
            <w:pPr>
              <w:keepNext/>
              <w:keepLines/>
              <w:spacing w:after="0" w:line="240" w:lineRule="auto"/>
              <w:jc w:val="right"/>
            </w:pPr>
            <w:r>
              <w:rPr>
                <w:sz w:val="18"/>
              </w:rPr>
              <w:t>17.950,81</w:t>
            </w:r>
          </w:p>
        </w:tc>
        <w:tc>
          <w:tcPr>
            <w:tcW w:w="1860" w:type="dxa"/>
            <w:tcMar>
              <w:top w:w="0" w:type="dxa"/>
              <w:bottom w:w="0" w:type="dxa"/>
            </w:tcMar>
            <w:vAlign w:val="center"/>
          </w:tcPr>
          <w:p w14:paraId="274BFFBD" w14:textId="77777777" w:rsidR="00633DD1" w:rsidRDefault="00000000">
            <w:pPr>
              <w:keepNext/>
              <w:keepLines/>
              <w:spacing w:after="0" w:line="240" w:lineRule="auto"/>
              <w:jc w:val="right"/>
            </w:pPr>
            <w:r>
              <w:rPr>
                <w:sz w:val="18"/>
              </w:rPr>
              <w:t>20.459,45</w:t>
            </w:r>
          </w:p>
        </w:tc>
        <w:tc>
          <w:tcPr>
            <w:tcW w:w="700" w:type="dxa"/>
            <w:tcMar>
              <w:top w:w="0" w:type="dxa"/>
              <w:bottom w:w="0" w:type="dxa"/>
            </w:tcMar>
            <w:vAlign w:val="center"/>
          </w:tcPr>
          <w:p w14:paraId="299EB593" w14:textId="77777777" w:rsidR="00633DD1" w:rsidRDefault="00000000">
            <w:pPr>
              <w:keepNext/>
              <w:keepLines/>
              <w:spacing w:after="0" w:line="240" w:lineRule="auto"/>
              <w:jc w:val="right"/>
            </w:pPr>
            <w:r>
              <w:rPr>
                <w:sz w:val="18"/>
              </w:rPr>
              <w:t>114,0</w:t>
            </w:r>
          </w:p>
        </w:tc>
      </w:tr>
    </w:tbl>
    <w:p w14:paraId="080BDA35" w14:textId="77777777" w:rsidR="00633DD1" w:rsidRDefault="00633DD1">
      <w:pPr>
        <w:spacing w:after="0"/>
      </w:pPr>
    </w:p>
    <w:p w14:paraId="49BEE2F1" w14:textId="77777777" w:rsidR="00633DD1" w:rsidRDefault="00000000">
      <w:r>
        <w:t>Porezi na imovinu su povećani za 14,%  radi poreza na nekretnine koji se tek u ovom izvještajnom razdoblju počeo naplaćivati.</w:t>
      </w:r>
    </w:p>
    <w:p w14:paraId="3B152087" w14:textId="77777777" w:rsidR="00633DD1" w:rsidRDefault="00633DD1"/>
    <w:p w14:paraId="348DA0E1" w14:textId="77777777" w:rsidR="00633DD1"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E08677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61964E"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2CFFB84"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F0ADE0"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B49AF"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569A36"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66E914" w14:textId="77777777" w:rsidR="00633DD1" w:rsidRDefault="00000000">
            <w:pPr>
              <w:keepNext/>
              <w:keepLines/>
              <w:spacing w:after="0" w:line="240" w:lineRule="auto"/>
              <w:jc w:val="center"/>
            </w:pPr>
            <w:r>
              <w:rPr>
                <w:b/>
                <w:sz w:val="18"/>
              </w:rPr>
              <w:t>Indeks (%)</w:t>
            </w:r>
          </w:p>
        </w:tc>
      </w:tr>
      <w:tr w:rsidR="00633DD1" w14:paraId="51D545BC" w14:textId="77777777">
        <w:tblPrEx>
          <w:tblCellMar>
            <w:top w:w="0" w:type="dxa"/>
            <w:bottom w:w="0" w:type="dxa"/>
          </w:tblCellMar>
        </w:tblPrEx>
        <w:trPr>
          <w:cantSplit/>
          <w:trHeight w:val="560"/>
        </w:trPr>
        <w:tc>
          <w:tcPr>
            <w:tcW w:w="700" w:type="dxa"/>
            <w:tcMar>
              <w:top w:w="0" w:type="dxa"/>
              <w:bottom w:w="0" w:type="dxa"/>
            </w:tcMar>
            <w:vAlign w:val="center"/>
          </w:tcPr>
          <w:p w14:paraId="63768A89" w14:textId="77777777" w:rsidR="00633DD1" w:rsidRDefault="00000000">
            <w:pPr>
              <w:keepNext/>
              <w:keepLines/>
              <w:spacing w:after="0" w:line="240" w:lineRule="auto"/>
            </w:pPr>
            <w:r>
              <w:rPr>
                <w:sz w:val="18"/>
              </w:rPr>
              <w:t>63</w:t>
            </w:r>
          </w:p>
        </w:tc>
        <w:tc>
          <w:tcPr>
            <w:tcW w:w="3180" w:type="dxa"/>
            <w:tcMar>
              <w:top w:w="0" w:type="dxa"/>
              <w:bottom w:w="0" w:type="dxa"/>
            </w:tcMar>
            <w:vAlign w:val="center"/>
          </w:tcPr>
          <w:p w14:paraId="55AD9417" w14:textId="77777777" w:rsidR="00633DD1"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F172CE3" w14:textId="77777777" w:rsidR="00633DD1" w:rsidRDefault="00000000">
            <w:pPr>
              <w:keepNext/>
              <w:keepLines/>
              <w:spacing w:after="0" w:line="240" w:lineRule="auto"/>
            </w:pPr>
            <w:r>
              <w:rPr>
                <w:sz w:val="18"/>
              </w:rPr>
              <w:t>63</w:t>
            </w:r>
          </w:p>
        </w:tc>
        <w:tc>
          <w:tcPr>
            <w:tcW w:w="1860" w:type="dxa"/>
            <w:tcMar>
              <w:top w:w="0" w:type="dxa"/>
              <w:bottom w:w="0" w:type="dxa"/>
            </w:tcMar>
            <w:vAlign w:val="center"/>
          </w:tcPr>
          <w:p w14:paraId="37220E4E" w14:textId="77777777" w:rsidR="00633DD1" w:rsidRDefault="00000000">
            <w:pPr>
              <w:keepNext/>
              <w:keepLines/>
              <w:spacing w:after="0" w:line="240" w:lineRule="auto"/>
              <w:jc w:val="right"/>
            </w:pPr>
            <w:r>
              <w:rPr>
                <w:sz w:val="18"/>
              </w:rPr>
              <w:t>667.838,01</w:t>
            </w:r>
          </w:p>
        </w:tc>
        <w:tc>
          <w:tcPr>
            <w:tcW w:w="1860" w:type="dxa"/>
            <w:tcMar>
              <w:top w:w="0" w:type="dxa"/>
              <w:bottom w:w="0" w:type="dxa"/>
            </w:tcMar>
            <w:vAlign w:val="center"/>
          </w:tcPr>
          <w:p w14:paraId="308B9A55" w14:textId="77777777" w:rsidR="00633DD1" w:rsidRDefault="00000000">
            <w:pPr>
              <w:keepNext/>
              <w:keepLines/>
              <w:spacing w:after="0" w:line="240" w:lineRule="auto"/>
              <w:jc w:val="right"/>
            </w:pPr>
            <w:r>
              <w:rPr>
                <w:sz w:val="18"/>
              </w:rPr>
              <w:t>798.392,47</w:t>
            </w:r>
          </w:p>
        </w:tc>
        <w:tc>
          <w:tcPr>
            <w:tcW w:w="700" w:type="dxa"/>
            <w:tcMar>
              <w:top w:w="0" w:type="dxa"/>
              <w:bottom w:w="0" w:type="dxa"/>
            </w:tcMar>
            <w:vAlign w:val="center"/>
          </w:tcPr>
          <w:p w14:paraId="76AC7A1B" w14:textId="77777777" w:rsidR="00633DD1" w:rsidRDefault="00000000">
            <w:pPr>
              <w:keepNext/>
              <w:keepLines/>
              <w:spacing w:after="0" w:line="240" w:lineRule="auto"/>
              <w:jc w:val="right"/>
            </w:pPr>
            <w:r>
              <w:rPr>
                <w:sz w:val="18"/>
              </w:rPr>
              <w:t>119,5</w:t>
            </w:r>
          </w:p>
        </w:tc>
      </w:tr>
    </w:tbl>
    <w:p w14:paraId="7DE114BC" w14:textId="77777777" w:rsidR="00633DD1" w:rsidRDefault="00633DD1">
      <w:pPr>
        <w:spacing w:after="0"/>
      </w:pPr>
    </w:p>
    <w:p w14:paraId="3EE56F87" w14:textId="77777777" w:rsidR="00633DD1" w:rsidRDefault="00000000">
      <w:r>
        <w:t>Pomoći iz inozemstva i od subjekata unutar općeg proračuna su povećane za 19,5% radi kapitalnih pomoći za realizirane projekte, kao i za projekt Brižne ruke podravske koji se provodio tokom cijele godine. </w:t>
      </w:r>
    </w:p>
    <w:p w14:paraId="02F45202" w14:textId="77777777" w:rsidR="00633DD1" w:rsidRDefault="00633DD1"/>
    <w:p w14:paraId="71FAC089" w14:textId="77777777" w:rsidR="00633DD1" w:rsidRDefault="00000000">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3EB52C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B92F40"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566ECF"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E5DCC1"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52C4FC"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5BCE8A"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0F598C" w14:textId="77777777" w:rsidR="00633DD1" w:rsidRDefault="00000000">
            <w:pPr>
              <w:keepNext/>
              <w:keepLines/>
              <w:spacing w:after="0" w:line="240" w:lineRule="auto"/>
              <w:jc w:val="center"/>
            </w:pPr>
            <w:r>
              <w:rPr>
                <w:b/>
                <w:sz w:val="18"/>
              </w:rPr>
              <w:t>Indeks (%)</w:t>
            </w:r>
          </w:p>
        </w:tc>
      </w:tr>
      <w:tr w:rsidR="00633DD1" w14:paraId="63A20302" w14:textId="77777777">
        <w:tblPrEx>
          <w:tblCellMar>
            <w:top w:w="0" w:type="dxa"/>
            <w:bottom w:w="0" w:type="dxa"/>
          </w:tblCellMar>
        </w:tblPrEx>
        <w:trPr>
          <w:cantSplit/>
          <w:trHeight w:val="560"/>
        </w:trPr>
        <w:tc>
          <w:tcPr>
            <w:tcW w:w="700" w:type="dxa"/>
            <w:tcMar>
              <w:top w:w="0" w:type="dxa"/>
              <w:bottom w:w="0" w:type="dxa"/>
            </w:tcMar>
            <w:vAlign w:val="center"/>
          </w:tcPr>
          <w:p w14:paraId="25D2C2E8" w14:textId="77777777" w:rsidR="00633DD1" w:rsidRDefault="00000000">
            <w:pPr>
              <w:keepNext/>
              <w:keepLines/>
              <w:spacing w:after="0" w:line="240" w:lineRule="auto"/>
            </w:pPr>
            <w:r>
              <w:rPr>
                <w:sz w:val="18"/>
              </w:rPr>
              <w:t>64</w:t>
            </w:r>
          </w:p>
        </w:tc>
        <w:tc>
          <w:tcPr>
            <w:tcW w:w="3180" w:type="dxa"/>
            <w:tcMar>
              <w:top w:w="0" w:type="dxa"/>
              <w:bottom w:w="0" w:type="dxa"/>
            </w:tcMar>
            <w:vAlign w:val="center"/>
          </w:tcPr>
          <w:p w14:paraId="218BFD73" w14:textId="77777777" w:rsidR="00633DD1"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1286DCFA" w14:textId="77777777" w:rsidR="00633DD1" w:rsidRDefault="00000000">
            <w:pPr>
              <w:keepNext/>
              <w:keepLines/>
              <w:spacing w:after="0" w:line="240" w:lineRule="auto"/>
            </w:pPr>
            <w:r>
              <w:rPr>
                <w:sz w:val="18"/>
              </w:rPr>
              <w:t>64</w:t>
            </w:r>
          </w:p>
        </w:tc>
        <w:tc>
          <w:tcPr>
            <w:tcW w:w="1860" w:type="dxa"/>
            <w:tcMar>
              <w:top w:w="0" w:type="dxa"/>
              <w:bottom w:w="0" w:type="dxa"/>
            </w:tcMar>
            <w:vAlign w:val="center"/>
          </w:tcPr>
          <w:p w14:paraId="5AD81F23" w14:textId="77777777" w:rsidR="00633DD1" w:rsidRDefault="00000000">
            <w:pPr>
              <w:keepNext/>
              <w:keepLines/>
              <w:spacing w:after="0" w:line="240" w:lineRule="auto"/>
              <w:jc w:val="right"/>
            </w:pPr>
            <w:r>
              <w:rPr>
                <w:sz w:val="18"/>
              </w:rPr>
              <w:t>165.747,83</w:t>
            </w:r>
          </w:p>
        </w:tc>
        <w:tc>
          <w:tcPr>
            <w:tcW w:w="1860" w:type="dxa"/>
            <w:tcMar>
              <w:top w:w="0" w:type="dxa"/>
              <w:bottom w:w="0" w:type="dxa"/>
            </w:tcMar>
            <w:vAlign w:val="center"/>
          </w:tcPr>
          <w:p w14:paraId="302F6406" w14:textId="77777777" w:rsidR="00633DD1" w:rsidRDefault="00000000">
            <w:pPr>
              <w:keepNext/>
              <w:keepLines/>
              <w:spacing w:after="0" w:line="240" w:lineRule="auto"/>
              <w:jc w:val="right"/>
            </w:pPr>
            <w:r>
              <w:rPr>
                <w:sz w:val="18"/>
              </w:rPr>
              <w:t>142.639,22</w:t>
            </w:r>
          </w:p>
        </w:tc>
        <w:tc>
          <w:tcPr>
            <w:tcW w:w="700" w:type="dxa"/>
            <w:tcMar>
              <w:top w:w="0" w:type="dxa"/>
              <w:bottom w:w="0" w:type="dxa"/>
            </w:tcMar>
            <w:vAlign w:val="center"/>
          </w:tcPr>
          <w:p w14:paraId="251CF9A5" w14:textId="77777777" w:rsidR="00633DD1" w:rsidRDefault="00000000">
            <w:pPr>
              <w:keepNext/>
              <w:keepLines/>
              <w:spacing w:after="0" w:line="240" w:lineRule="auto"/>
              <w:jc w:val="right"/>
            </w:pPr>
            <w:r>
              <w:rPr>
                <w:sz w:val="18"/>
              </w:rPr>
              <w:t>86,1</w:t>
            </w:r>
          </w:p>
        </w:tc>
      </w:tr>
    </w:tbl>
    <w:p w14:paraId="595A5C49" w14:textId="77777777" w:rsidR="00633DD1" w:rsidRDefault="00633DD1">
      <w:pPr>
        <w:spacing w:after="0"/>
      </w:pPr>
    </w:p>
    <w:p w14:paraId="7A934052" w14:textId="77777777" w:rsidR="00633DD1" w:rsidRDefault="00000000">
      <w:r>
        <w:t>Prihodi od imovine su manji za 13,9% u odnosu na prošlogodišnje izvještajno razdoblje i odnose se na naknadu za eksploataciju mineralnih sirovina.</w:t>
      </w:r>
    </w:p>
    <w:p w14:paraId="7E1787E4" w14:textId="77777777" w:rsidR="00633DD1" w:rsidRDefault="00633DD1"/>
    <w:p w14:paraId="67C52AA4" w14:textId="77777777" w:rsidR="00633DD1"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6E9027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01B650"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BBE1A5"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CC54D3"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DF1358"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F5F801"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37FA75" w14:textId="77777777" w:rsidR="00633DD1" w:rsidRDefault="00000000">
            <w:pPr>
              <w:keepNext/>
              <w:keepLines/>
              <w:spacing w:after="0" w:line="240" w:lineRule="auto"/>
              <w:jc w:val="center"/>
            </w:pPr>
            <w:r>
              <w:rPr>
                <w:b/>
                <w:sz w:val="18"/>
              </w:rPr>
              <w:t>Indeks (%)</w:t>
            </w:r>
          </w:p>
        </w:tc>
      </w:tr>
      <w:tr w:rsidR="00633DD1" w14:paraId="03C17F65" w14:textId="77777777">
        <w:tblPrEx>
          <w:tblCellMar>
            <w:top w:w="0" w:type="dxa"/>
            <w:bottom w:w="0" w:type="dxa"/>
          </w:tblCellMar>
        </w:tblPrEx>
        <w:trPr>
          <w:cantSplit/>
          <w:trHeight w:val="560"/>
        </w:trPr>
        <w:tc>
          <w:tcPr>
            <w:tcW w:w="700" w:type="dxa"/>
            <w:tcMar>
              <w:top w:w="0" w:type="dxa"/>
              <w:bottom w:w="0" w:type="dxa"/>
            </w:tcMar>
            <w:vAlign w:val="center"/>
          </w:tcPr>
          <w:p w14:paraId="2B57BB1C" w14:textId="77777777" w:rsidR="00633DD1" w:rsidRDefault="00000000">
            <w:pPr>
              <w:keepNext/>
              <w:keepLines/>
              <w:spacing w:after="0" w:line="240" w:lineRule="auto"/>
            </w:pPr>
            <w:r>
              <w:rPr>
                <w:sz w:val="18"/>
              </w:rPr>
              <w:t>65</w:t>
            </w:r>
          </w:p>
        </w:tc>
        <w:tc>
          <w:tcPr>
            <w:tcW w:w="3180" w:type="dxa"/>
            <w:tcMar>
              <w:top w:w="0" w:type="dxa"/>
              <w:bottom w:w="0" w:type="dxa"/>
            </w:tcMar>
            <w:vAlign w:val="center"/>
          </w:tcPr>
          <w:p w14:paraId="5FB1F41E" w14:textId="77777777" w:rsidR="00633DD1"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8EEFFA9" w14:textId="77777777" w:rsidR="00633DD1" w:rsidRDefault="00000000">
            <w:pPr>
              <w:keepNext/>
              <w:keepLines/>
              <w:spacing w:after="0" w:line="240" w:lineRule="auto"/>
            </w:pPr>
            <w:r>
              <w:rPr>
                <w:sz w:val="18"/>
              </w:rPr>
              <w:t>65</w:t>
            </w:r>
          </w:p>
        </w:tc>
        <w:tc>
          <w:tcPr>
            <w:tcW w:w="1860" w:type="dxa"/>
            <w:tcMar>
              <w:top w:w="0" w:type="dxa"/>
              <w:bottom w:w="0" w:type="dxa"/>
            </w:tcMar>
            <w:vAlign w:val="center"/>
          </w:tcPr>
          <w:p w14:paraId="13D2CB4B" w14:textId="77777777" w:rsidR="00633DD1" w:rsidRDefault="00000000">
            <w:pPr>
              <w:keepNext/>
              <w:keepLines/>
              <w:spacing w:after="0" w:line="240" w:lineRule="auto"/>
              <w:jc w:val="right"/>
            </w:pPr>
            <w:r>
              <w:rPr>
                <w:sz w:val="18"/>
              </w:rPr>
              <w:t>80.584,49</w:t>
            </w:r>
          </w:p>
        </w:tc>
        <w:tc>
          <w:tcPr>
            <w:tcW w:w="1860" w:type="dxa"/>
            <w:tcMar>
              <w:top w:w="0" w:type="dxa"/>
              <w:bottom w:w="0" w:type="dxa"/>
            </w:tcMar>
            <w:vAlign w:val="center"/>
          </w:tcPr>
          <w:p w14:paraId="18CDA802" w14:textId="77777777" w:rsidR="00633DD1" w:rsidRDefault="00000000">
            <w:pPr>
              <w:keepNext/>
              <w:keepLines/>
              <w:spacing w:after="0" w:line="240" w:lineRule="auto"/>
              <w:jc w:val="right"/>
            </w:pPr>
            <w:r>
              <w:rPr>
                <w:sz w:val="18"/>
              </w:rPr>
              <w:t>158.486,46</w:t>
            </w:r>
          </w:p>
        </w:tc>
        <w:tc>
          <w:tcPr>
            <w:tcW w:w="700" w:type="dxa"/>
            <w:tcMar>
              <w:top w:w="0" w:type="dxa"/>
              <w:bottom w:w="0" w:type="dxa"/>
            </w:tcMar>
            <w:vAlign w:val="center"/>
          </w:tcPr>
          <w:p w14:paraId="24B30B34" w14:textId="77777777" w:rsidR="00633DD1" w:rsidRDefault="00000000">
            <w:pPr>
              <w:keepNext/>
              <w:keepLines/>
              <w:spacing w:after="0" w:line="240" w:lineRule="auto"/>
              <w:jc w:val="right"/>
            </w:pPr>
            <w:r>
              <w:rPr>
                <w:sz w:val="18"/>
              </w:rPr>
              <w:t>196,7</w:t>
            </w:r>
          </w:p>
        </w:tc>
      </w:tr>
    </w:tbl>
    <w:p w14:paraId="3140ED54" w14:textId="77777777" w:rsidR="00633DD1" w:rsidRDefault="00633DD1">
      <w:pPr>
        <w:spacing w:after="0"/>
      </w:pPr>
    </w:p>
    <w:p w14:paraId="22DD8CBB" w14:textId="77777777" w:rsidR="00633DD1" w:rsidRDefault="00000000">
      <w:r>
        <w:t>Prihodi od upravnih i administrativnih pristojbi, pristojbi po posebnim propisima i naknada su povećani za 96,7% i odnose se na šumski doprinos.</w:t>
      </w:r>
    </w:p>
    <w:p w14:paraId="286C93EA" w14:textId="77777777" w:rsidR="00633DD1" w:rsidRDefault="00633DD1"/>
    <w:p w14:paraId="68733167" w14:textId="77777777" w:rsidR="00633DD1"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9A45F8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3B1B81"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9AEA98"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26B50B"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FC2916"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C0EC6A"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A538E" w14:textId="77777777" w:rsidR="00633DD1" w:rsidRDefault="00000000">
            <w:pPr>
              <w:keepNext/>
              <w:keepLines/>
              <w:spacing w:after="0" w:line="240" w:lineRule="auto"/>
              <w:jc w:val="center"/>
            </w:pPr>
            <w:r>
              <w:rPr>
                <w:b/>
                <w:sz w:val="18"/>
              </w:rPr>
              <w:t>Indeks (%)</w:t>
            </w:r>
          </w:p>
        </w:tc>
      </w:tr>
      <w:tr w:rsidR="00633DD1" w14:paraId="47C0A508" w14:textId="77777777">
        <w:tblPrEx>
          <w:tblCellMar>
            <w:top w:w="0" w:type="dxa"/>
            <w:bottom w:w="0" w:type="dxa"/>
          </w:tblCellMar>
        </w:tblPrEx>
        <w:trPr>
          <w:cantSplit/>
          <w:trHeight w:val="560"/>
        </w:trPr>
        <w:tc>
          <w:tcPr>
            <w:tcW w:w="700" w:type="dxa"/>
            <w:tcMar>
              <w:top w:w="0" w:type="dxa"/>
              <w:bottom w:w="0" w:type="dxa"/>
            </w:tcMar>
            <w:vAlign w:val="center"/>
          </w:tcPr>
          <w:p w14:paraId="71F0A76F" w14:textId="77777777" w:rsidR="00633DD1" w:rsidRDefault="00000000">
            <w:pPr>
              <w:keepNext/>
              <w:keepLines/>
              <w:spacing w:after="0" w:line="240" w:lineRule="auto"/>
            </w:pPr>
            <w:r>
              <w:rPr>
                <w:sz w:val="18"/>
              </w:rPr>
              <w:t>311</w:t>
            </w:r>
          </w:p>
        </w:tc>
        <w:tc>
          <w:tcPr>
            <w:tcW w:w="3180" w:type="dxa"/>
            <w:tcMar>
              <w:top w:w="0" w:type="dxa"/>
              <w:bottom w:w="0" w:type="dxa"/>
            </w:tcMar>
            <w:vAlign w:val="center"/>
          </w:tcPr>
          <w:p w14:paraId="385449C8" w14:textId="77777777" w:rsidR="00633DD1" w:rsidRDefault="00000000">
            <w:pPr>
              <w:keepNext/>
              <w:keepLines/>
              <w:spacing w:after="0" w:line="240" w:lineRule="auto"/>
            </w:pPr>
            <w:r>
              <w:rPr>
                <w:sz w:val="18"/>
              </w:rPr>
              <w:t>Plaće (bruto) (šifre 3111 do 3114)</w:t>
            </w:r>
          </w:p>
        </w:tc>
        <w:tc>
          <w:tcPr>
            <w:tcW w:w="700" w:type="dxa"/>
            <w:tcMar>
              <w:top w:w="0" w:type="dxa"/>
              <w:bottom w:w="0" w:type="dxa"/>
            </w:tcMar>
            <w:vAlign w:val="center"/>
          </w:tcPr>
          <w:p w14:paraId="149F4C42" w14:textId="77777777" w:rsidR="00633DD1" w:rsidRDefault="00000000">
            <w:pPr>
              <w:keepNext/>
              <w:keepLines/>
              <w:spacing w:after="0" w:line="240" w:lineRule="auto"/>
            </w:pPr>
            <w:r>
              <w:rPr>
                <w:sz w:val="18"/>
              </w:rPr>
              <w:t>311</w:t>
            </w:r>
          </w:p>
        </w:tc>
        <w:tc>
          <w:tcPr>
            <w:tcW w:w="1860" w:type="dxa"/>
            <w:tcMar>
              <w:top w:w="0" w:type="dxa"/>
              <w:bottom w:w="0" w:type="dxa"/>
            </w:tcMar>
            <w:vAlign w:val="center"/>
          </w:tcPr>
          <w:p w14:paraId="3E3D4835" w14:textId="77777777" w:rsidR="00633DD1" w:rsidRDefault="00000000">
            <w:pPr>
              <w:keepNext/>
              <w:keepLines/>
              <w:spacing w:after="0" w:line="240" w:lineRule="auto"/>
              <w:jc w:val="right"/>
            </w:pPr>
            <w:r>
              <w:rPr>
                <w:sz w:val="18"/>
              </w:rPr>
              <w:t>163.608,67</w:t>
            </w:r>
          </w:p>
        </w:tc>
        <w:tc>
          <w:tcPr>
            <w:tcW w:w="1860" w:type="dxa"/>
            <w:tcMar>
              <w:top w:w="0" w:type="dxa"/>
              <w:bottom w:w="0" w:type="dxa"/>
            </w:tcMar>
            <w:vAlign w:val="center"/>
          </w:tcPr>
          <w:p w14:paraId="5007F6FD" w14:textId="77777777" w:rsidR="00633DD1" w:rsidRDefault="00000000">
            <w:pPr>
              <w:keepNext/>
              <w:keepLines/>
              <w:spacing w:after="0" w:line="240" w:lineRule="auto"/>
              <w:jc w:val="right"/>
            </w:pPr>
            <w:r>
              <w:rPr>
                <w:sz w:val="18"/>
              </w:rPr>
              <w:t>240.809,42</w:t>
            </w:r>
          </w:p>
        </w:tc>
        <w:tc>
          <w:tcPr>
            <w:tcW w:w="700" w:type="dxa"/>
            <w:tcMar>
              <w:top w:w="0" w:type="dxa"/>
              <w:bottom w:w="0" w:type="dxa"/>
            </w:tcMar>
            <w:vAlign w:val="center"/>
          </w:tcPr>
          <w:p w14:paraId="5C9B2AAA" w14:textId="77777777" w:rsidR="00633DD1" w:rsidRDefault="00000000">
            <w:pPr>
              <w:keepNext/>
              <w:keepLines/>
              <w:spacing w:after="0" w:line="240" w:lineRule="auto"/>
              <w:jc w:val="right"/>
            </w:pPr>
            <w:r>
              <w:rPr>
                <w:sz w:val="18"/>
              </w:rPr>
              <w:t>147,2</w:t>
            </w:r>
          </w:p>
        </w:tc>
      </w:tr>
    </w:tbl>
    <w:p w14:paraId="4488059D" w14:textId="77777777" w:rsidR="00633DD1" w:rsidRDefault="00633DD1">
      <w:pPr>
        <w:spacing w:after="0"/>
      </w:pPr>
    </w:p>
    <w:p w14:paraId="314C2C7B" w14:textId="77777777" w:rsidR="00633DD1" w:rsidRDefault="00000000">
      <w:r>
        <w:t>Plaće (bruto) su povećane za 47,2% radi većeg broja zaposlenih i radi povećanja osnovice za obračun plaća.</w:t>
      </w:r>
    </w:p>
    <w:p w14:paraId="5253395C" w14:textId="77777777" w:rsidR="00633DD1" w:rsidRDefault="00633DD1"/>
    <w:p w14:paraId="5DCC4D9F" w14:textId="77777777" w:rsidR="00633DD1"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49425B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CAA661"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5D9401"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03D01E"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53F301"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9E3A9E"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3B7D4B" w14:textId="77777777" w:rsidR="00633DD1" w:rsidRDefault="00000000">
            <w:pPr>
              <w:keepNext/>
              <w:keepLines/>
              <w:spacing w:after="0" w:line="240" w:lineRule="auto"/>
              <w:jc w:val="center"/>
            </w:pPr>
            <w:r>
              <w:rPr>
                <w:b/>
                <w:sz w:val="18"/>
              </w:rPr>
              <w:t>Indeks (%)</w:t>
            </w:r>
          </w:p>
        </w:tc>
      </w:tr>
      <w:tr w:rsidR="00633DD1" w14:paraId="08F23318" w14:textId="77777777">
        <w:tblPrEx>
          <w:tblCellMar>
            <w:top w:w="0" w:type="dxa"/>
            <w:bottom w:w="0" w:type="dxa"/>
          </w:tblCellMar>
        </w:tblPrEx>
        <w:trPr>
          <w:cantSplit/>
          <w:trHeight w:val="560"/>
        </w:trPr>
        <w:tc>
          <w:tcPr>
            <w:tcW w:w="700" w:type="dxa"/>
            <w:tcMar>
              <w:top w:w="0" w:type="dxa"/>
              <w:bottom w:w="0" w:type="dxa"/>
            </w:tcMar>
            <w:vAlign w:val="center"/>
          </w:tcPr>
          <w:p w14:paraId="11AC9D8E" w14:textId="77777777" w:rsidR="00633DD1" w:rsidRDefault="00000000">
            <w:pPr>
              <w:keepNext/>
              <w:keepLines/>
              <w:spacing w:after="0" w:line="240" w:lineRule="auto"/>
            </w:pPr>
            <w:r>
              <w:rPr>
                <w:sz w:val="18"/>
              </w:rPr>
              <w:t>321</w:t>
            </w:r>
          </w:p>
        </w:tc>
        <w:tc>
          <w:tcPr>
            <w:tcW w:w="3180" w:type="dxa"/>
            <w:tcMar>
              <w:top w:w="0" w:type="dxa"/>
              <w:bottom w:w="0" w:type="dxa"/>
            </w:tcMar>
            <w:vAlign w:val="center"/>
          </w:tcPr>
          <w:p w14:paraId="26250629" w14:textId="77777777" w:rsidR="00633DD1" w:rsidRDefault="00000000">
            <w:pPr>
              <w:keepNext/>
              <w:keepLines/>
              <w:spacing w:after="0" w:line="240" w:lineRule="auto"/>
            </w:pPr>
            <w:r>
              <w:rPr>
                <w:sz w:val="18"/>
              </w:rPr>
              <w:t>Naknade troškova zaposlenima (šifre 3211 do 3214)</w:t>
            </w:r>
          </w:p>
        </w:tc>
        <w:tc>
          <w:tcPr>
            <w:tcW w:w="700" w:type="dxa"/>
            <w:tcMar>
              <w:top w:w="0" w:type="dxa"/>
              <w:bottom w:w="0" w:type="dxa"/>
            </w:tcMar>
            <w:vAlign w:val="center"/>
          </w:tcPr>
          <w:p w14:paraId="756A27DC" w14:textId="77777777" w:rsidR="00633DD1" w:rsidRDefault="00000000">
            <w:pPr>
              <w:keepNext/>
              <w:keepLines/>
              <w:spacing w:after="0" w:line="240" w:lineRule="auto"/>
            </w:pPr>
            <w:r>
              <w:rPr>
                <w:sz w:val="18"/>
              </w:rPr>
              <w:t>321</w:t>
            </w:r>
          </w:p>
        </w:tc>
        <w:tc>
          <w:tcPr>
            <w:tcW w:w="1860" w:type="dxa"/>
            <w:tcMar>
              <w:top w:w="0" w:type="dxa"/>
              <w:bottom w:w="0" w:type="dxa"/>
            </w:tcMar>
            <w:vAlign w:val="center"/>
          </w:tcPr>
          <w:p w14:paraId="04882261" w14:textId="77777777" w:rsidR="00633DD1" w:rsidRDefault="00000000">
            <w:pPr>
              <w:keepNext/>
              <w:keepLines/>
              <w:spacing w:after="0" w:line="240" w:lineRule="auto"/>
              <w:jc w:val="right"/>
            </w:pPr>
            <w:r>
              <w:rPr>
                <w:sz w:val="18"/>
              </w:rPr>
              <w:t>7.579,17</w:t>
            </w:r>
          </w:p>
        </w:tc>
        <w:tc>
          <w:tcPr>
            <w:tcW w:w="1860" w:type="dxa"/>
            <w:tcMar>
              <w:top w:w="0" w:type="dxa"/>
              <w:bottom w:w="0" w:type="dxa"/>
            </w:tcMar>
            <w:vAlign w:val="center"/>
          </w:tcPr>
          <w:p w14:paraId="759B95A9" w14:textId="77777777" w:rsidR="00633DD1" w:rsidRDefault="00000000">
            <w:pPr>
              <w:keepNext/>
              <w:keepLines/>
              <w:spacing w:after="0" w:line="240" w:lineRule="auto"/>
              <w:jc w:val="right"/>
            </w:pPr>
            <w:r>
              <w:rPr>
                <w:sz w:val="18"/>
              </w:rPr>
              <w:t>9.258,71</w:t>
            </w:r>
          </w:p>
        </w:tc>
        <w:tc>
          <w:tcPr>
            <w:tcW w:w="700" w:type="dxa"/>
            <w:tcMar>
              <w:top w:w="0" w:type="dxa"/>
              <w:bottom w:w="0" w:type="dxa"/>
            </w:tcMar>
            <w:vAlign w:val="center"/>
          </w:tcPr>
          <w:p w14:paraId="6CC97DF6" w14:textId="77777777" w:rsidR="00633DD1" w:rsidRDefault="00000000">
            <w:pPr>
              <w:keepNext/>
              <w:keepLines/>
              <w:spacing w:after="0" w:line="240" w:lineRule="auto"/>
              <w:jc w:val="right"/>
            </w:pPr>
            <w:r>
              <w:rPr>
                <w:sz w:val="18"/>
              </w:rPr>
              <w:t>122,2</w:t>
            </w:r>
          </w:p>
        </w:tc>
      </w:tr>
    </w:tbl>
    <w:p w14:paraId="4E9EC269" w14:textId="77777777" w:rsidR="00633DD1" w:rsidRDefault="00633DD1">
      <w:pPr>
        <w:spacing w:after="0"/>
      </w:pPr>
    </w:p>
    <w:p w14:paraId="3B9513CE" w14:textId="77777777" w:rsidR="00633DD1" w:rsidRDefault="00000000">
      <w:r>
        <w:t>Naknade troškova zaposlenima odnose se na naknade za prijevoz, a povećane su za 22,2%  radi djelatnica u sklopu projekta Brižne ruke podravske.</w:t>
      </w:r>
    </w:p>
    <w:p w14:paraId="6125A19F" w14:textId="77777777" w:rsidR="00633DD1" w:rsidRDefault="00633DD1"/>
    <w:p w14:paraId="7BB63E27" w14:textId="77777777" w:rsidR="00633DD1" w:rsidRDefault="00000000">
      <w:pPr>
        <w:keepNext/>
        <w:spacing w:line="240" w:lineRule="auto"/>
        <w:jc w:val="center"/>
      </w:pPr>
      <w:r>
        <w:rPr>
          <w:sz w:val="28"/>
        </w:rPr>
        <w:lastRenderedPageBreak/>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D68C1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7B65DE"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FFA754"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C30567"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B309A0"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85045D"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0510F8" w14:textId="77777777" w:rsidR="00633DD1" w:rsidRDefault="00000000">
            <w:pPr>
              <w:keepNext/>
              <w:keepLines/>
              <w:spacing w:after="0" w:line="240" w:lineRule="auto"/>
              <w:jc w:val="center"/>
            </w:pPr>
            <w:r>
              <w:rPr>
                <w:b/>
                <w:sz w:val="18"/>
              </w:rPr>
              <w:t>Indeks (%)</w:t>
            </w:r>
          </w:p>
        </w:tc>
      </w:tr>
      <w:tr w:rsidR="00633DD1" w14:paraId="485B3357" w14:textId="77777777">
        <w:tblPrEx>
          <w:tblCellMar>
            <w:top w:w="0" w:type="dxa"/>
            <w:bottom w:w="0" w:type="dxa"/>
          </w:tblCellMar>
        </w:tblPrEx>
        <w:trPr>
          <w:cantSplit/>
          <w:trHeight w:val="560"/>
        </w:trPr>
        <w:tc>
          <w:tcPr>
            <w:tcW w:w="700" w:type="dxa"/>
            <w:tcMar>
              <w:top w:w="0" w:type="dxa"/>
              <w:bottom w:w="0" w:type="dxa"/>
            </w:tcMar>
            <w:vAlign w:val="center"/>
          </w:tcPr>
          <w:p w14:paraId="36E288AA" w14:textId="77777777" w:rsidR="00633DD1" w:rsidRDefault="00000000">
            <w:pPr>
              <w:keepNext/>
              <w:keepLines/>
              <w:spacing w:after="0" w:line="240" w:lineRule="auto"/>
            </w:pPr>
            <w:r>
              <w:rPr>
                <w:sz w:val="18"/>
              </w:rPr>
              <w:t>322</w:t>
            </w:r>
          </w:p>
        </w:tc>
        <w:tc>
          <w:tcPr>
            <w:tcW w:w="3180" w:type="dxa"/>
            <w:tcMar>
              <w:top w:w="0" w:type="dxa"/>
              <w:bottom w:w="0" w:type="dxa"/>
            </w:tcMar>
            <w:vAlign w:val="center"/>
          </w:tcPr>
          <w:p w14:paraId="2BA1B6F4" w14:textId="77777777" w:rsidR="00633DD1"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75F47645" w14:textId="77777777" w:rsidR="00633DD1" w:rsidRDefault="00000000">
            <w:pPr>
              <w:keepNext/>
              <w:keepLines/>
              <w:spacing w:after="0" w:line="240" w:lineRule="auto"/>
            </w:pPr>
            <w:r>
              <w:rPr>
                <w:sz w:val="18"/>
              </w:rPr>
              <w:t>322</w:t>
            </w:r>
          </w:p>
        </w:tc>
        <w:tc>
          <w:tcPr>
            <w:tcW w:w="1860" w:type="dxa"/>
            <w:tcMar>
              <w:top w:w="0" w:type="dxa"/>
              <w:bottom w:w="0" w:type="dxa"/>
            </w:tcMar>
            <w:vAlign w:val="center"/>
          </w:tcPr>
          <w:p w14:paraId="3E6A27C8" w14:textId="77777777" w:rsidR="00633DD1" w:rsidRDefault="00000000">
            <w:pPr>
              <w:keepNext/>
              <w:keepLines/>
              <w:spacing w:after="0" w:line="240" w:lineRule="auto"/>
              <w:jc w:val="right"/>
            </w:pPr>
            <w:r>
              <w:rPr>
                <w:sz w:val="18"/>
              </w:rPr>
              <w:t>76.149,29</w:t>
            </w:r>
          </w:p>
        </w:tc>
        <w:tc>
          <w:tcPr>
            <w:tcW w:w="1860" w:type="dxa"/>
            <w:tcMar>
              <w:top w:w="0" w:type="dxa"/>
              <w:bottom w:w="0" w:type="dxa"/>
            </w:tcMar>
            <w:vAlign w:val="center"/>
          </w:tcPr>
          <w:p w14:paraId="09850118" w14:textId="77777777" w:rsidR="00633DD1" w:rsidRDefault="00000000">
            <w:pPr>
              <w:keepNext/>
              <w:keepLines/>
              <w:spacing w:after="0" w:line="240" w:lineRule="auto"/>
              <w:jc w:val="right"/>
            </w:pPr>
            <w:r>
              <w:rPr>
                <w:sz w:val="18"/>
              </w:rPr>
              <w:t>60.971,71</w:t>
            </w:r>
          </w:p>
        </w:tc>
        <w:tc>
          <w:tcPr>
            <w:tcW w:w="700" w:type="dxa"/>
            <w:tcMar>
              <w:top w:w="0" w:type="dxa"/>
              <w:bottom w:w="0" w:type="dxa"/>
            </w:tcMar>
            <w:vAlign w:val="center"/>
          </w:tcPr>
          <w:p w14:paraId="4E87BC9A" w14:textId="77777777" w:rsidR="00633DD1" w:rsidRDefault="00000000">
            <w:pPr>
              <w:keepNext/>
              <w:keepLines/>
              <w:spacing w:after="0" w:line="240" w:lineRule="auto"/>
              <w:jc w:val="right"/>
            </w:pPr>
            <w:r>
              <w:rPr>
                <w:sz w:val="18"/>
              </w:rPr>
              <w:t>80,1</w:t>
            </w:r>
          </w:p>
        </w:tc>
      </w:tr>
    </w:tbl>
    <w:p w14:paraId="6DCD70D0" w14:textId="77777777" w:rsidR="00633DD1" w:rsidRDefault="00633DD1">
      <w:pPr>
        <w:spacing w:after="0"/>
      </w:pPr>
    </w:p>
    <w:p w14:paraId="7D6DBE17" w14:textId="77777777" w:rsidR="00633DD1" w:rsidRDefault="00000000">
      <w:r>
        <w:t>Rashodi za materijal i energiju su manji za 19,9% radi manje potrebe za nabavom materijala za tekuće održavanje opreme i građevinskih objekata i nabave sitnog inventara.</w:t>
      </w:r>
    </w:p>
    <w:p w14:paraId="76227329" w14:textId="77777777" w:rsidR="00633DD1" w:rsidRDefault="00633DD1"/>
    <w:p w14:paraId="22A8E102" w14:textId="77777777" w:rsidR="00633DD1"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62EE9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CCDFF8"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B9098F"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B06BF8"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2AEBB2"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A10D5D"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38A92D0" w14:textId="77777777" w:rsidR="00633DD1" w:rsidRDefault="00000000">
            <w:pPr>
              <w:keepNext/>
              <w:keepLines/>
              <w:spacing w:after="0" w:line="240" w:lineRule="auto"/>
              <w:jc w:val="center"/>
            </w:pPr>
            <w:r>
              <w:rPr>
                <w:b/>
                <w:sz w:val="18"/>
              </w:rPr>
              <w:t>Indeks (%)</w:t>
            </w:r>
          </w:p>
        </w:tc>
      </w:tr>
      <w:tr w:rsidR="00633DD1" w14:paraId="246AAB3C" w14:textId="77777777">
        <w:tblPrEx>
          <w:tblCellMar>
            <w:top w:w="0" w:type="dxa"/>
            <w:bottom w:w="0" w:type="dxa"/>
          </w:tblCellMar>
        </w:tblPrEx>
        <w:trPr>
          <w:cantSplit/>
          <w:trHeight w:val="560"/>
        </w:trPr>
        <w:tc>
          <w:tcPr>
            <w:tcW w:w="700" w:type="dxa"/>
            <w:tcMar>
              <w:top w:w="0" w:type="dxa"/>
              <w:bottom w:w="0" w:type="dxa"/>
            </w:tcMar>
            <w:vAlign w:val="center"/>
          </w:tcPr>
          <w:p w14:paraId="00D174C2" w14:textId="77777777" w:rsidR="00633DD1" w:rsidRDefault="00000000">
            <w:pPr>
              <w:keepNext/>
              <w:keepLines/>
              <w:spacing w:after="0" w:line="240" w:lineRule="auto"/>
            </w:pPr>
            <w:r>
              <w:rPr>
                <w:sz w:val="18"/>
              </w:rPr>
              <w:t>323</w:t>
            </w:r>
          </w:p>
        </w:tc>
        <w:tc>
          <w:tcPr>
            <w:tcW w:w="3180" w:type="dxa"/>
            <w:tcMar>
              <w:top w:w="0" w:type="dxa"/>
              <w:bottom w:w="0" w:type="dxa"/>
            </w:tcMar>
            <w:vAlign w:val="center"/>
          </w:tcPr>
          <w:p w14:paraId="7E78DE8F" w14:textId="77777777" w:rsidR="00633DD1"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DFF1AF8" w14:textId="77777777" w:rsidR="00633DD1" w:rsidRDefault="00000000">
            <w:pPr>
              <w:keepNext/>
              <w:keepLines/>
              <w:spacing w:after="0" w:line="240" w:lineRule="auto"/>
            </w:pPr>
            <w:r>
              <w:rPr>
                <w:sz w:val="18"/>
              </w:rPr>
              <w:t>323</w:t>
            </w:r>
          </w:p>
        </w:tc>
        <w:tc>
          <w:tcPr>
            <w:tcW w:w="1860" w:type="dxa"/>
            <w:tcMar>
              <w:top w:w="0" w:type="dxa"/>
              <w:bottom w:w="0" w:type="dxa"/>
            </w:tcMar>
            <w:vAlign w:val="center"/>
          </w:tcPr>
          <w:p w14:paraId="3EBA8D9C" w14:textId="77777777" w:rsidR="00633DD1" w:rsidRDefault="00000000">
            <w:pPr>
              <w:keepNext/>
              <w:keepLines/>
              <w:spacing w:after="0" w:line="240" w:lineRule="auto"/>
              <w:jc w:val="right"/>
            </w:pPr>
            <w:r>
              <w:rPr>
                <w:sz w:val="18"/>
              </w:rPr>
              <w:t>211.971,62</w:t>
            </w:r>
          </w:p>
        </w:tc>
        <w:tc>
          <w:tcPr>
            <w:tcW w:w="1860" w:type="dxa"/>
            <w:tcMar>
              <w:top w:w="0" w:type="dxa"/>
              <w:bottom w:w="0" w:type="dxa"/>
            </w:tcMar>
            <w:vAlign w:val="center"/>
          </w:tcPr>
          <w:p w14:paraId="15D77AB5" w14:textId="77777777" w:rsidR="00633DD1" w:rsidRDefault="00000000">
            <w:pPr>
              <w:keepNext/>
              <w:keepLines/>
              <w:spacing w:after="0" w:line="240" w:lineRule="auto"/>
              <w:jc w:val="right"/>
            </w:pPr>
            <w:r>
              <w:rPr>
                <w:sz w:val="18"/>
              </w:rPr>
              <w:t>163.053,49</w:t>
            </w:r>
          </w:p>
        </w:tc>
        <w:tc>
          <w:tcPr>
            <w:tcW w:w="700" w:type="dxa"/>
            <w:tcMar>
              <w:top w:w="0" w:type="dxa"/>
              <w:bottom w:w="0" w:type="dxa"/>
            </w:tcMar>
            <w:vAlign w:val="center"/>
          </w:tcPr>
          <w:p w14:paraId="068B2DDA" w14:textId="77777777" w:rsidR="00633DD1" w:rsidRDefault="00000000">
            <w:pPr>
              <w:keepNext/>
              <w:keepLines/>
              <w:spacing w:after="0" w:line="240" w:lineRule="auto"/>
              <w:jc w:val="right"/>
            </w:pPr>
            <w:r>
              <w:rPr>
                <w:sz w:val="18"/>
              </w:rPr>
              <w:t>76,9</w:t>
            </w:r>
          </w:p>
        </w:tc>
      </w:tr>
    </w:tbl>
    <w:p w14:paraId="2B37E8A0" w14:textId="77777777" w:rsidR="00633DD1" w:rsidRDefault="00633DD1">
      <w:pPr>
        <w:spacing w:after="0"/>
      </w:pPr>
    </w:p>
    <w:p w14:paraId="1AE41513" w14:textId="77777777" w:rsidR="00633DD1" w:rsidRDefault="00000000">
      <w:r>
        <w:t>Rashodi za usluge su manji za 23,10% u odnosu na prošlogodišnje razdoblje radi manjeg obima usluga tekućeg održavanja građevine i opreme.</w:t>
      </w:r>
    </w:p>
    <w:p w14:paraId="3B09304D" w14:textId="77777777" w:rsidR="00633DD1" w:rsidRDefault="00633DD1"/>
    <w:p w14:paraId="6A8ECEDD" w14:textId="77777777" w:rsidR="00633DD1"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740926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A2ECC6"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621E68"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353147"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B06528"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258CD2"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980D3C" w14:textId="77777777" w:rsidR="00633DD1" w:rsidRDefault="00000000">
            <w:pPr>
              <w:keepNext/>
              <w:keepLines/>
              <w:spacing w:after="0" w:line="240" w:lineRule="auto"/>
              <w:jc w:val="center"/>
            </w:pPr>
            <w:r>
              <w:rPr>
                <w:b/>
                <w:sz w:val="18"/>
              </w:rPr>
              <w:t>Indeks (%)</w:t>
            </w:r>
          </w:p>
        </w:tc>
      </w:tr>
      <w:tr w:rsidR="00633DD1" w14:paraId="0A2741FF" w14:textId="77777777">
        <w:tblPrEx>
          <w:tblCellMar>
            <w:top w:w="0" w:type="dxa"/>
            <w:bottom w:w="0" w:type="dxa"/>
          </w:tblCellMar>
        </w:tblPrEx>
        <w:trPr>
          <w:cantSplit/>
          <w:trHeight w:val="560"/>
        </w:trPr>
        <w:tc>
          <w:tcPr>
            <w:tcW w:w="700" w:type="dxa"/>
            <w:tcMar>
              <w:top w:w="0" w:type="dxa"/>
              <w:bottom w:w="0" w:type="dxa"/>
            </w:tcMar>
            <w:vAlign w:val="center"/>
          </w:tcPr>
          <w:p w14:paraId="033E8BC9" w14:textId="77777777" w:rsidR="00633DD1" w:rsidRDefault="00000000">
            <w:pPr>
              <w:keepNext/>
              <w:keepLines/>
              <w:spacing w:after="0" w:line="240" w:lineRule="auto"/>
            </w:pPr>
            <w:r>
              <w:rPr>
                <w:sz w:val="18"/>
              </w:rPr>
              <w:t>329</w:t>
            </w:r>
          </w:p>
        </w:tc>
        <w:tc>
          <w:tcPr>
            <w:tcW w:w="3180" w:type="dxa"/>
            <w:tcMar>
              <w:top w:w="0" w:type="dxa"/>
              <w:bottom w:w="0" w:type="dxa"/>
            </w:tcMar>
            <w:vAlign w:val="center"/>
          </w:tcPr>
          <w:p w14:paraId="11856162" w14:textId="77777777" w:rsidR="00633DD1"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44F5AB65" w14:textId="77777777" w:rsidR="00633DD1" w:rsidRDefault="00000000">
            <w:pPr>
              <w:keepNext/>
              <w:keepLines/>
              <w:spacing w:after="0" w:line="240" w:lineRule="auto"/>
            </w:pPr>
            <w:r>
              <w:rPr>
                <w:sz w:val="18"/>
              </w:rPr>
              <w:t>329</w:t>
            </w:r>
          </w:p>
        </w:tc>
        <w:tc>
          <w:tcPr>
            <w:tcW w:w="1860" w:type="dxa"/>
            <w:tcMar>
              <w:top w:w="0" w:type="dxa"/>
              <w:bottom w:w="0" w:type="dxa"/>
            </w:tcMar>
            <w:vAlign w:val="center"/>
          </w:tcPr>
          <w:p w14:paraId="1FBD146A" w14:textId="77777777" w:rsidR="00633DD1" w:rsidRDefault="00000000">
            <w:pPr>
              <w:keepNext/>
              <w:keepLines/>
              <w:spacing w:after="0" w:line="240" w:lineRule="auto"/>
              <w:jc w:val="right"/>
            </w:pPr>
            <w:r>
              <w:rPr>
                <w:sz w:val="18"/>
              </w:rPr>
              <w:t>32.395,49</w:t>
            </w:r>
          </w:p>
        </w:tc>
        <w:tc>
          <w:tcPr>
            <w:tcW w:w="1860" w:type="dxa"/>
            <w:tcMar>
              <w:top w:w="0" w:type="dxa"/>
              <w:bottom w:w="0" w:type="dxa"/>
            </w:tcMar>
            <w:vAlign w:val="center"/>
          </w:tcPr>
          <w:p w14:paraId="33C4EE5D" w14:textId="77777777" w:rsidR="00633DD1" w:rsidRDefault="00000000">
            <w:pPr>
              <w:keepNext/>
              <w:keepLines/>
              <w:spacing w:after="0" w:line="240" w:lineRule="auto"/>
              <w:jc w:val="right"/>
            </w:pPr>
            <w:r>
              <w:rPr>
                <w:sz w:val="18"/>
              </w:rPr>
              <w:t>60.641,83</w:t>
            </w:r>
          </w:p>
        </w:tc>
        <w:tc>
          <w:tcPr>
            <w:tcW w:w="700" w:type="dxa"/>
            <w:tcMar>
              <w:top w:w="0" w:type="dxa"/>
              <w:bottom w:w="0" w:type="dxa"/>
            </w:tcMar>
            <w:vAlign w:val="center"/>
          </w:tcPr>
          <w:p w14:paraId="24F9470B" w14:textId="77777777" w:rsidR="00633DD1" w:rsidRDefault="00000000">
            <w:pPr>
              <w:keepNext/>
              <w:keepLines/>
              <w:spacing w:after="0" w:line="240" w:lineRule="auto"/>
              <w:jc w:val="right"/>
            </w:pPr>
            <w:r>
              <w:rPr>
                <w:sz w:val="18"/>
              </w:rPr>
              <w:t>187,2</w:t>
            </w:r>
          </w:p>
        </w:tc>
      </w:tr>
    </w:tbl>
    <w:p w14:paraId="1F1B94AD" w14:textId="77777777" w:rsidR="00633DD1" w:rsidRDefault="00633DD1">
      <w:pPr>
        <w:spacing w:after="0"/>
      </w:pPr>
    </w:p>
    <w:p w14:paraId="00237DCE" w14:textId="77777777" w:rsidR="00633DD1" w:rsidRDefault="00000000">
      <w:r>
        <w:t>Ostali nespomenuti rashodi poslovanja su veći za 87,2% u odnosu na prošlogodišnje izvještajno razdoblje radi isplate naknada za održavanje lokalnih izbora, povećanje cijene članarine turističke zajednice, te ostalih prostojbi.</w:t>
      </w:r>
    </w:p>
    <w:p w14:paraId="6C9DE9DA" w14:textId="77777777" w:rsidR="00633DD1" w:rsidRDefault="00633DD1"/>
    <w:p w14:paraId="01213BDF" w14:textId="77777777" w:rsidR="00633DD1"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31A97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029C9F"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63F6BF6"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1D867A"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BC9C16"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BCC073"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2FC80E" w14:textId="77777777" w:rsidR="00633DD1" w:rsidRDefault="00000000">
            <w:pPr>
              <w:keepNext/>
              <w:keepLines/>
              <w:spacing w:after="0" w:line="240" w:lineRule="auto"/>
              <w:jc w:val="center"/>
            </w:pPr>
            <w:r>
              <w:rPr>
                <w:b/>
                <w:sz w:val="18"/>
              </w:rPr>
              <w:t>Indeks (%)</w:t>
            </w:r>
          </w:p>
        </w:tc>
      </w:tr>
      <w:tr w:rsidR="00633DD1" w14:paraId="17B23CA9" w14:textId="77777777">
        <w:tblPrEx>
          <w:tblCellMar>
            <w:top w:w="0" w:type="dxa"/>
            <w:bottom w:w="0" w:type="dxa"/>
          </w:tblCellMar>
        </w:tblPrEx>
        <w:trPr>
          <w:cantSplit/>
          <w:trHeight w:val="560"/>
        </w:trPr>
        <w:tc>
          <w:tcPr>
            <w:tcW w:w="700" w:type="dxa"/>
            <w:tcMar>
              <w:top w:w="0" w:type="dxa"/>
              <w:bottom w:w="0" w:type="dxa"/>
            </w:tcMar>
            <w:vAlign w:val="center"/>
          </w:tcPr>
          <w:p w14:paraId="1E320DB9" w14:textId="77777777" w:rsidR="00633DD1" w:rsidRDefault="00000000">
            <w:pPr>
              <w:keepNext/>
              <w:keepLines/>
              <w:spacing w:after="0" w:line="240" w:lineRule="auto"/>
            </w:pPr>
            <w:r>
              <w:rPr>
                <w:sz w:val="18"/>
              </w:rPr>
              <w:t>35</w:t>
            </w:r>
          </w:p>
        </w:tc>
        <w:tc>
          <w:tcPr>
            <w:tcW w:w="3180" w:type="dxa"/>
            <w:tcMar>
              <w:top w:w="0" w:type="dxa"/>
              <w:bottom w:w="0" w:type="dxa"/>
            </w:tcMar>
            <w:vAlign w:val="center"/>
          </w:tcPr>
          <w:p w14:paraId="014522FD" w14:textId="77777777" w:rsidR="00633DD1" w:rsidRDefault="00000000">
            <w:pPr>
              <w:keepNext/>
              <w:keepLines/>
              <w:spacing w:after="0" w:line="240" w:lineRule="auto"/>
            </w:pPr>
            <w:r>
              <w:rPr>
                <w:sz w:val="18"/>
              </w:rPr>
              <w:t>Subvencije (šifre 351+352+353)</w:t>
            </w:r>
          </w:p>
        </w:tc>
        <w:tc>
          <w:tcPr>
            <w:tcW w:w="700" w:type="dxa"/>
            <w:tcMar>
              <w:top w:w="0" w:type="dxa"/>
              <w:bottom w:w="0" w:type="dxa"/>
            </w:tcMar>
            <w:vAlign w:val="center"/>
          </w:tcPr>
          <w:p w14:paraId="545C00E7" w14:textId="77777777" w:rsidR="00633DD1" w:rsidRDefault="00000000">
            <w:pPr>
              <w:keepNext/>
              <w:keepLines/>
              <w:spacing w:after="0" w:line="240" w:lineRule="auto"/>
            </w:pPr>
            <w:r>
              <w:rPr>
                <w:sz w:val="18"/>
              </w:rPr>
              <w:t>35</w:t>
            </w:r>
          </w:p>
        </w:tc>
        <w:tc>
          <w:tcPr>
            <w:tcW w:w="1860" w:type="dxa"/>
            <w:tcMar>
              <w:top w:w="0" w:type="dxa"/>
              <w:bottom w:w="0" w:type="dxa"/>
            </w:tcMar>
            <w:vAlign w:val="center"/>
          </w:tcPr>
          <w:p w14:paraId="689B7236" w14:textId="77777777" w:rsidR="00633DD1" w:rsidRDefault="00000000">
            <w:pPr>
              <w:keepNext/>
              <w:keepLines/>
              <w:spacing w:after="0" w:line="240" w:lineRule="auto"/>
              <w:jc w:val="right"/>
            </w:pPr>
            <w:r>
              <w:rPr>
                <w:sz w:val="18"/>
              </w:rPr>
              <w:t>22.816,78</w:t>
            </w:r>
          </w:p>
        </w:tc>
        <w:tc>
          <w:tcPr>
            <w:tcW w:w="1860" w:type="dxa"/>
            <w:tcMar>
              <w:top w:w="0" w:type="dxa"/>
              <w:bottom w:w="0" w:type="dxa"/>
            </w:tcMar>
            <w:vAlign w:val="center"/>
          </w:tcPr>
          <w:p w14:paraId="2E79742F" w14:textId="77777777" w:rsidR="00633DD1" w:rsidRDefault="00000000">
            <w:pPr>
              <w:keepNext/>
              <w:keepLines/>
              <w:spacing w:after="0" w:line="240" w:lineRule="auto"/>
              <w:jc w:val="right"/>
            </w:pPr>
            <w:r>
              <w:rPr>
                <w:sz w:val="18"/>
              </w:rPr>
              <w:t>19.132,77</w:t>
            </w:r>
          </w:p>
        </w:tc>
        <w:tc>
          <w:tcPr>
            <w:tcW w:w="700" w:type="dxa"/>
            <w:tcMar>
              <w:top w:w="0" w:type="dxa"/>
              <w:bottom w:w="0" w:type="dxa"/>
            </w:tcMar>
            <w:vAlign w:val="center"/>
          </w:tcPr>
          <w:p w14:paraId="046AFE81" w14:textId="77777777" w:rsidR="00633DD1" w:rsidRDefault="00000000">
            <w:pPr>
              <w:keepNext/>
              <w:keepLines/>
              <w:spacing w:after="0" w:line="240" w:lineRule="auto"/>
              <w:jc w:val="right"/>
            </w:pPr>
            <w:r>
              <w:rPr>
                <w:sz w:val="18"/>
              </w:rPr>
              <w:t>83,9</w:t>
            </w:r>
          </w:p>
        </w:tc>
      </w:tr>
    </w:tbl>
    <w:p w14:paraId="2BCDCFCD" w14:textId="77777777" w:rsidR="00633DD1" w:rsidRDefault="00633DD1">
      <w:pPr>
        <w:spacing w:after="0"/>
      </w:pPr>
    </w:p>
    <w:p w14:paraId="11A9ABFD" w14:textId="77777777" w:rsidR="00633DD1" w:rsidRDefault="00000000">
      <w:r>
        <w:t>Subvencije su manje za 16,10% u odnosu na prošlogodišnje izvještajno razdoblje radi manje podnesenih zahtjeva za subvenciranje poljoprivrede.</w:t>
      </w:r>
    </w:p>
    <w:p w14:paraId="3537CB73" w14:textId="77777777" w:rsidR="00633DD1" w:rsidRDefault="00633DD1"/>
    <w:p w14:paraId="3884B9A5" w14:textId="77777777" w:rsidR="00633DD1"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096734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D2B1A0"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F53A4A"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CA09B1"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E298DB"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0EBCF6"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73F412" w14:textId="77777777" w:rsidR="00633DD1" w:rsidRDefault="00000000">
            <w:pPr>
              <w:keepNext/>
              <w:keepLines/>
              <w:spacing w:after="0" w:line="240" w:lineRule="auto"/>
              <w:jc w:val="center"/>
            </w:pPr>
            <w:r>
              <w:rPr>
                <w:b/>
                <w:sz w:val="18"/>
              </w:rPr>
              <w:t>Indeks (%)</w:t>
            </w:r>
          </w:p>
        </w:tc>
      </w:tr>
      <w:tr w:rsidR="00633DD1" w14:paraId="12217DCD" w14:textId="77777777">
        <w:tblPrEx>
          <w:tblCellMar>
            <w:top w:w="0" w:type="dxa"/>
            <w:bottom w:w="0" w:type="dxa"/>
          </w:tblCellMar>
        </w:tblPrEx>
        <w:trPr>
          <w:cantSplit/>
          <w:trHeight w:val="560"/>
        </w:trPr>
        <w:tc>
          <w:tcPr>
            <w:tcW w:w="700" w:type="dxa"/>
            <w:tcMar>
              <w:top w:w="0" w:type="dxa"/>
              <w:bottom w:w="0" w:type="dxa"/>
            </w:tcMar>
            <w:vAlign w:val="center"/>
          </w:tcPr>
          <w:p w14:paraId="5744A492" w14:textId="77777777" w:rsidR="00633DD1" w:rsidRDefault="00000000">
            <w:pPr>
              <w:keepNext/>
              <w:keepLines/>
              <w:spacing w:after="0" w:line="240" w:lineRule="auto"/>
            </w:pPr>
            <w:r>
              <w:rPr>
                <w:sz w:val="18"/>
              </w:rPr>
              <w:t>36</w:t>
            </w:r>
          </w:p>
        </w:tc>
        <w:tc>
          <w:tcPr>
            <w:tcW w:w="3180" w:type="dxa"/>
            <w:tcMar>
              <w:top w:w="0" w:type="dxa"/>
              <w:bottom w:w="0" w:type="dxa"/>
            </w:tcMar>
            <w:vAlign w:val="center"/>
          </w:tcPr>
          <w:p w14:paraId="7F6A6AAC" w14:textId="77777777" w:rsidR="00633DD1"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308B4F6E" w14:textId="77777777" w:rsidR="00633DD1" w:rsidRDefault="00000000">
            <w:pPr>
              <w:keepNext/>
              <w:keepLines/>
              <w:spacing w:after="0" w:line="240" w:lineRule="auto"/>
            </w:pPr>
            <w:r>
              <w:rPr>
                <w:sz w:val="18"/>
              </w:rPr>
              <w:t>36</w:t>
            </w:r>
          </w:p>
        </w:tc>
        <w:tc>
          <w:tcPr>
            <w:tcW w:w="1860" w:type="dxa"/>
            <w:tcMar>
              <w:top w:w="0" w:type="dxa"/>
              <w:bottom w:w="0" w:type="dxa"/>
            </w:tcMar>
            <w:vAlign w:val="center"/>
          </w:tcPr>
          <w:p w14:paraId="6B730E0B" w14:textId="77777777" w:rsidR="00633DD1" w:rsidRDefault="00000000">
            <w:pPr>
              <w:keepNext/>
              <w:keepLines/>
              <w:spacing w:after="0" w:line="240" w:lineRule="auto"/>
              <w:jc w:val="right"/>
            </w:pPr>
            <w:r>
              <w:rPr>
                <w:sz w:val="18"/>
              </w:rPr>
              <w:t>278.810,87</w:t>
            </w:r>
          </w:p>
        </w:tc>
        <w:tc>
          <w:tcPr>
            <w:tcW w:w="1860" w:type="dxa"/>
            <w:tcMar>
              <w:top w:w="0" w:type="dxa"/>
              <w:bottom w:w="0" w:type="dxa"/>
            </w:tcMar>
            <w:vAlign w:val="center"/>
          </w:tcPr>
          <w:p w14:paraId="37EEA918" w14:textId="77777777" w:rsidR="00633DD1" w:rsidRDefault="00000000">
            <w:pPr>
              <w:keepNext/>
              <w:keepLines/>
              <w:spacing w:after="0" w:line="240" w:lineRule="auto"/>
              <w:jc w:val="right"/>
            </w:pPr>
            <w:r>
              <w:rPr>
                <w:sz w:val="18"/>
              </w:rPr>
              <w:t>322.647,26</w:t>
            </w:r>
          </w:p>
        </w:tc>
        <w:tc>
          <w:tcPr>
            <w:tcW w:w="700" w:type="dxa"/>
            <w:tcMar>
              <w:top w:w="0" w:type="dxa"/>
              <w:bottom w:w="0" w:type="dxa"/>
            </w:tcMar>
            <w:vAlign w:val="center"/>
          </w:tcPr>
          <w:p w14:paraId="59D9C32D" w14:textId="77777777" w:rsidR="00633DD1" w:rsidRDefault="00000000">
            <w:pPr>
              <w:keepNext/>
              <w:keepLines/>
              <w:spacing w:after="0" w:line="240" w:lineRule="auto"/>
              <w:jc w:val="right"/>
            </w:pPr>
            <w:r>
              <w:rPr>
                <w:sz w:val="18"/>
              </w:rPr>
              <w:t>115,7</w:t>
            </w:r>
          </w:p>
        </w:tc>
      </w:tr>
    </w:tbl>
    <w:p w14:paraId="29E3DCE4" w14:textId="77777777" w:rsidR="00633DD1" w:rsidRDefault="00633DD1">
      <w:pPr>
        <w:spacing w:after="0"/>
      </w:pPr>
    </w:p>
    <w:p w14:paraId="259DF23E" w14:textId="77777777" w:rsidR="00633DD1" w:rsidRDefault="00000000">
      <w:r>
        <w:t>Pomoći dane u inozemstvo i unutar općeg proračuna su veće za 15,7% u odnosu na prošlogodišnje izvještajno razdoblje radi veće potrebe za prijenos sredstava proračunskom korisniku dječjem vrtiću Košutica Ferdinandovac, sufinanciranja dijela asfaltiranja i podmirenja manjka JVP-a.</w:t>
      </w:r>
    </w:p>
    <w:p w14:paraId="3762FF14" w14:textId="77777777" w:rsidR="00633DD1" w:rsidRDefault="00633DD1"/>
    <w:p w14:paraId="6BE071D6" w14:textId="77777777" w:rsidR="00633DD1"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72F28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7C1B33"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C4220"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F1B439"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9BA613"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3F3006"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22193E" w14:textId="77777777" w:rsidR="00633DD1" w:rsidRDefault="00000000">
            <w:pPr>
              <w:keepNext/>
              <w:keepLines/>
              <w:spacing w:after="0" w:line="240" w:lineRule="auto"/>
              <w:jc w:val="center"/>
            </w:pPr>
            <w:r>
              <w:rPr>
                <w:b/>
                <w:sz w:val="18"/>
              </w:rPr>
              <w:t>Indeks (%)</w:t>
            </w:r>
          </w:p>
        </w:tc>
      </w:tr>
      <w:tr w:rsidR="00633DD1" w14:paraId="42E19003" w14:textId="77777777">
        <w:tblPrEx>
          <w:tblCellMar>
            <w:top w:w="0" w:type="dxa"/>
            <w:bottom w:w="0" w:type="dxa"/>
          </w:tblCellMar>
        </w:tblPrEx>
        <w:trPr>
          <w:cantSplit/>
          <w:trHeight w:val="560"/>
        </w:trPr>
        <w:tc>
          <w:tcPr>
            <w:tcW w:w="700" w:type="dxa"/>
            <w:tcMar>
              <w:top w:w="0" w:type="dxa"/>
              <w:bottom w:w="0" w:type="dxa"/>
            </w:tcMar>
            <w:vAlign w:val="center"/>
          </w:tcPr>
          <w:p w14:paraId="673D3309" w14:textId="77777777" w:rsidR="00633DD1" w:rsidRDefault="00000000">
            <w:pPr>
              <w:keepNext/>
              <w:keepLines/>
              <w:spacing w:after="0" w:line="240" w:lineRule="auto"/>
            </w:pPr>
            <w:r>
              <w:rPr>
                <w:sz w:val="18"/>
              </w:rPr>
              <w:t>38</w:t>
            </w:r>
          </w:p>
        </w:tc>
        <w:tc>
          <w:tcPr>
            <w:tcW w:w="3180" w:type="dxa"/>
            <w:tcMar>
              <w:top w:w="0" w:type="dxa"/>
              <w:bottom w:w="0" w:type="dxa"/>
            </w:tcMar>
            <w:vAlign w:val="center"/>
          </w:tcPr>
          <w:p w14:paraId="31DBD622" w14:textId="77777777" w:rsidR="00633DD1"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59B2A579" w14:textId="77777777" w:rsidR="00633DD1" w:rsidRDefault="00000000">
            <w:pPr>
              <w:keepNext/>
              <w:keepLines/>
              <w:spacing w:after="0" w:line="240" w:lineRule="auto"/>
            </w:pPr>
            <w:r>
              <w:rPr>
                <w:sz w:val="18"/>
              </w:rPr>
              <w:t>38</w:t>
            </w:r>
          </w:p>
        </w:tc>
        <w:tc>
          <w:tcPr>
            <w:tcW w:w="1860" w:type="dxa"/>
            <w:tcMar>
              <w:top w:w="0" w:type="dxa"/>
              <w:bottom w:w="0" w:type="dxa"/>
            </w:tcMar>
            <w:vAlign w:val="center"/>
          </w:tcPr>
          <w:p w14:paraId="35830BF8" w14:textId="77777777" w:rsidR="00633DD1" w:rsidRDefault="00000000">
            <w:pPr>
              <w:keepNext/>
              <w:keepLines/>
              <w:spacing w:after="0" w:line="240" w:lineRule="auto"/>
              <w:jc w:val="right"/>
            </w:pPr>
            <w:r>
              <w:rPr>
                <w:sz w:val="18"/>
              </w:rPr>
              <w:t>104.901,47</w:t>
            </w:r>
          </w:p>
        </w:tc>
        <w:tc>
          <w:tcPr>
            <w:tcW w:w="1860" w:type="dxa"/>
            <w:tcMar>
              <w:top w:w="0" w:type="dxa"/>
              <w:bottom w:w="0" w:type="dxa"/>
            </w:tcMar>
            <w:vAlign w:val="center"/>
          </w:tcPr>
          <w:p w14:paraId="7F6EE9FA" w14:textId="77777777" w:rsidR="00633DD1" w:rsidRDefault="00000000">
            <w:pPr>
              <w:keepNext/>
              <w:keepLines/>
              <w:spacing w:after="0" w:line="240" w:lineRule="auto"/>
              <w:jc w:val="right"/>
            </w:pPr>
            <w:r>
              <w:rPr>
                <w:sz w:val="18"/>
              </w:rPr>
              <w:t>154.070,50</w:t>
            </w:r>
          </w:p>
        </w:tc>
        <w:tc>
          <w:tcPr>
            <w:tcW w:w="700" w:type="dxa"/>
            <w:tcMar>
              <w:top w:w="0" w:type="dxa"/>
              <w:bottom w:w="0" w:type="dxa"/>
            </w:tcMar>
            <w:vAlign w:val="center"/>
          </w:tcPr>
          <w:p w14:paraId="5D13278F" w14:textId="77777777" w:rsidR="00633DD1" w:rsidRDefault="00000000">
            <w:pPr>
              <w:keepNext/>
              <w:keepLines/>
              <w:spacing w:after="0" w:line="240" w:lineRule="auto"/>
              <w:jc w:val="right"/>
            </w:pPr>
            <w:r>
              <w:rPr>
                <w:sz w:val="18"/>
              </w:rPr>
              <w:t>146,9</w:t>
            </w:r>
          </w:p>
        </w:tc>
      </w:tr>
    </w:tbl>
    <w:p w14:paraId="625E8E9E" w14:textId="77777777" w:rsidR="00633DD1" w:rsidRDefault="00633DD1">
      <w:pPr>
        <w:spacing w:after="0"/>
      </w:pPr>
    </w:p>
    <w:p w14:paraId="609220D5" w14:textId="77777777" w:rsidR="00633DD1" w:rsidRDefault="00000000">
      <w:r>
        <w:t>Rashodi za donacije, kazne, naknade šteta i kapitalne pomoći su veći za 46,9% u odnosu na prošlogodišnje izvještajno razdoblje jer su povećani iznosi donacija udrugama sa područja Općine Ferdinandovac.</w:t>
      </w:r>
    </w:p>
    <w:p w14:paraId="6102789F" w14:textId="77777777" w:rsidR="00633DD1" w:rsidRDefault="00633DD1"/>
    <w:p w14:paraId="36DA6585" w14:textId="77777777" w:rsidR="00633DD1"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21C7CA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757F86"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AA1A35"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BC5E11"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715A90"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AC1C7C"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CD872F" w14:textId="77777777" w:rsidR="00633DD1" w:rsidRDefault="00000000">
            <w:pPr>
              <w:keepNext/>
              <w:keepLines/>
              <w:spacing w:after="0" w:line="240" w:lineRule="auto"/>
              <w:jc w:val="center"/>
            </w:pPr>
            <w:r>
              <w:rPr>
                <w:b/>
                <w:sz w:val="18"/>
              </w:rPr>
              <w:t>Indeks (%)</w:t>
            </w:r>
          </w:p>
        </w:tc>
      </w:tr>
      <w:tr w:rsidR="00633DD1" w14:paraId="3EB896BA" w14:textId="77777777">
        <w:tblPrEx>
          <w:tblCellMar>
            <w:top w:w="0" w:type="dxa"/>
            <w:bottom w:w="0" w:type="dxa"/>
          </w:tblCellMar>
        </w:tblPrEx>
        <w:trPr>
          <w:cantSplit/>
          <w:trHeight w:val="560"/>
        </w:trPr>
        <w:tc>
          <w:tcPr>
            <w:tcW w:w="700" w:type="dxa"/>
            <w:tcMar>
              <w:top w:w="0" w:type="dxa"/>
              <w:bottom w:w="0" w:type="dxa"/>
            </w:tcMar>
            <w:vAlign w:val="center"/>
          </w:tcPr>
          <w:p w14:paraId="08A2F6DE" w14:textId="77777777" w:rsidR="00633DD1" w:rsidRDefault="00000000">
            <w:pPr>
              <w:keepNext/>
              <w:keepLines/>
              <w:spacing w:after="0" w:line="240" w:lineRule="auto"/>
            </w:pPr>
            <w:r>
              <w:rPr>
                <w:sz w:val="18"/>
              </w:rPr>
              <w:t>421</w:t>
            </w:r>
          </w:p>
        </w:tc>
        <w:tc>
          <w:tcPr>
            <w:tcW w:w="3180" w:type="dxa"/>
            <w:tcMar>
              <w:top w:w="0" w:type="dxa"/>
              <w:bottom w:w="0" w:type="dxa"/>
            </w:tcMar>
            <w:vAlign w:val="center"/>
          </w:tcPr>
          <w:p w14:paraId="6EE54BB5" w14:textId="77777777" w:rsidR="00633DD1"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6D964D45" w14:textId="77777777" w:rsidR="00633DD1" w:rsidRDefault="00000000">
            <w:pPr>
              <w:keepNext/>
              <w:keepLines/>
              <w:spacing w:after="0" w:line="240" w:lineRule="auto"/>
            </w:pPr>
            <w:r>
              <w:rPr>
                <w:sz w:val="18"/>
              </w:rPr>
              <w:t>421</w:t>
            </w:r>
          </w:p>
        </w:tc>
        <w:tc>
          <w:tcPr>
            <w:tcW w:w="1860" w:type="dxa"/>
            <w:tcMar>
              <w:top w:w="0" w:type="dxa"/>
              <w:bottom w:w="0" w:type="dxa"/>
            </w:tcMar>
            <w:vAlign w:val="center"/>
          </w:tcPr>
          <w:p w14:paraId="3A1F4D46" w14:textId="77777777" w:rsidR="00633DD1" w:rsidRDefault="00000000">
            <w:pPr>
              <w:keepNext/>
              <w:keepLines/>
              <w:spacing w:after="0" w:line="240" w:lineRule="auto"/>
              <w:jc w:val="right"/>
            </w:pPr>
            <w:r>
              <w:rPr>
                <w:sz w:val="18"/>
              </w:rPr>
              <w:t>257.274,81</w:t>
            </w:r>
          </w:p>
        </w:tc>
        <w:tc>
          <w:tcPr>
            <w:tcW w:w="1860" w:type="dxa"/>
            <w:tcMar>
              <w:top w:w="0" w:type="dxa"/>
              <w:bottom w:w="0" w:type="dxa"/>
            </w:tcMar>
            <w:vAlign w:val="center"/>
          </w:tcPr>
          <w:p w14:paraId="5DE43DFC" w14:textId="77777777" w:rsidR="00633DD1" w:rsidRDefault="00000000">
            <w:pPr>
              <w:keepNext/>
              <w:keepLines/>
              <w:spacing w:after="0" w:line="240" w:lineRule="auto"/>
              <w:jc w:val="right"/>
            </w:pPr>
            <w:r>
              <w:rPr>
                <w:sz w:val="18"/>
              </w:rPr>
              <w:t>364.447,09</w:t>
            </w:r>
          </w:p>
        </w:tc>
        <w:tc>
          <w:tcPr>
            <w:tcW w:w="700" w:type="dxa"/>
            <w:tcMar>
              <w:top w:w="0" w:type="dxa"/>
              <w:bottom w:w="0" w:type="dxa"/>
            </w:tcMar>
            <w:vAlign w:val="center"/>
          </w:tcPr>
          <w:p w14:paraId="182AD84C" w14:textId="77777777" w:rsidR="00633DD1" w:rsidRDefault="00000000">
            <w:pPr>
              <w:keepNext/>
              <w:keepLines/>
              <w:spacing w:after="0" w:line="240" w:lineRule="auto"/>
              <w:jc w:val="right"/>
            </w:pPr>
            <w:r>
              <w:rPr>
                <w:sz w:val="18"/>
              </w:rPr>
              <w:t>141,7</w:t>
            </w:r>
          </w:p>
        </w:tc>
      </w:tr>
    </w:tbl>
    <w:p w14:paraId="4A7B4379" w14:textId="77777777" w:rsidR="00633DD1" w:rsidRDefault="00633DD1">
      <w:pPr>
        <w:spacing w:after="0"/>
      </w:pPr>
    </w:p>
    <w:p w14:paraId="75D853FE" w14:textId="77777777" w:rsidR="00633DD1" w:rsidRDefault="00000000">
      <w:r>
        <w:t>Građevinski objekti su u ovom izvještajnom razdoblju veći za 41,7% u odnosu na prošlogodišnje izvještajno razdoblje  radi rekonstrukcija prometnica i ostalih prometnih objekata.</w:t>
      </w:r>
    </w:p>
    <w:p w14:paraId="071B2BB7" w14:textId="77777777" w:rsidR="00633DD1" w:rsidRDefault="00633DD1"/>
    <w:p w14:paraId="3868C972" w14:textId="77777777" w:rsidR="00633DD1"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FCE6DA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04FC92"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55A44EF"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133AC5"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C28F60"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340CD"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D9B3AB" w14:textId="77777777" w:rsidR="00633DD1" w:rsidRDefault="00000000">
            <w:pPr>
              <w:keepNext/>
              <w:keepLines/>
              <w:spacing w:after="0" w:line="240" w:lineRule="auto"/>
              <w:jc w:val="center"/>
            </w:pPr>
            <w:r>
              <w:rPr>
                <w:b/>
                <w:sz w:val="18"/>
              </w:rPr>
              <w:t>Indeks (%)</w:t>
            </w:r>
          </w:p>
        </w:tc>
      </w:tr>
      <w:tr w:rsidR="00633DD1" w14:paraId="4AE06580" w14:textId="77777777">
        <w:tblPrEx>
          <w:tblCellMar>
            <w:top w:w="0" w:type="dxa"/>
            <w:bottom w:w="0" w:type="dxa"/>
          </w:tblCellMar>
        </w:tblPrEx>
        <w:trPr>
          <w:cantSplit/>
          <w:trHeight w:val="560"/>
        </w:trPr>
        <w:tc>
          <w:tcPr>
            <w:tcW w:w="700" w:type="dxa"/>
            <w:tcMar>
              <w:top w:w="0" w:type="dxa"/>
              <w:bottom w:w="0" w:type="dxa"/>
            </w:tcMar>
            <w:vAlign w:val="center"/>
          </w:tcPr>
          <w:p w14:paraId="2D509068" w14:textId="77777777" w:rsidR="00633DD1" w:rsidRDefault="00000000">
            <w:pPr>
              <w:keepNext/>
              <w:keepLines/>
              <w:spacing w:after="0" w:line="240" w:lineRule="auto"/>
            </w:pPr>
            <w:r>
              <w:rPr>
                <w:sz w:val="18"/>
              </w:rPr>
              <w:t>422</w:t>
            </w:r>
          </w:p>
        </w:tc>
        <w:tc>
          <w:tcPr>
            <w:tcW w:w="3180" w:type="dxa"/>
            <w:tcMar>
              <w:top w:w="0" w:type="dxa"/>
              <w:bottom w:w="0" w:type="dxa"/>
            </w:tcMar>
            <w:vAlign w:val="center"/>
          </w:tcPr>
          <w:p w14:paraId="06C0B43C" w14:textId="77777777" w:rsidR="00633DD1"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29CF1C18" w14:textId="77777777" w:rsidR="00633DD1" w:rsidRDefault="00000000">
            <w:pPr>
              <w:keepNext/>
              <w:keepLines/>
              <w:spacing w:after="0" w:line="240" w:lineRule="auto"/>
            </w:pPr>
            <w:r>
              <w:rPr>
                <w:sz w:val="18"/>
              </w:rPr>
              <w:t>422</w:t>
            </w:r>
          </w:p>
        </w:tc>
        <w:tc>
          <w:tcPr>
            <w:tcW w:w="1860" w:type="dxa"/>
            <w:tcMar>
              <w:top w:w="0" w:type="dxa"/>
              <w:bottom w:w="0" w:type="dxa"/>
            </w:tcMar>
            <w:vAlign w:val="center"/>
          </w:tcPr>
          <w:p w14:paraId="09758456" w14:textId="77777777" w:rsidR="00633DD1" w:rsidRDefault="00000000">
            <w:pPr>
              <w:keepNext/>
              <w:keepLines/>
              <w:spacing w:after="0" w:line="240" w:lineRule="auto"/>
              <w:jc w:val="right"/>
            </w:pPr>
            <w:r>
              <w:rPr>
                <w:sz w:val="18"/>
              </w:rPr>
              <w:t>10.541,91</w:t>
            </w:r>
          </w:p>
        </w:tc>
        <w:tc>
          <w:tcPr>
            <w:tcW w:w="1860" w:type="dxa"/>
            <w:tcMar>
              <w:top w:w="0" w:type="dxa"/>
              <w:bottom w:w="0" w:type="dxa"/>
            </w:tcMar>
            <w:vAlign w:val="center"/>
          </w:tcPr>
          <w:p w14:paraId="7C6292E2" w14:textId="77777777" w:rsidR="00633DD1" w:rsidRDefault="00000000">
            <w:pPr>
              <w:keepNext/>
              <w:keepLines/>
              <w:spacing w:after="0" w:line="240" w:lineRule="auto"/>
              <w:jc w:val="right"/>
            </w:pPr>
            <w:r>
              <w:rPr>
                <w:sz w:val="18"/>
              </w:rPr>
              <w:t>104,90</w:t>
            </w:r>
          </w:p>
        </w:tc>
        <w:tc>
          <w:tcPr>
            <w:tcW w:w="700" w:type="dxa"/>
            <w:tcMar>
              <w:top w:w="0" w:type="dxa"/>
              <w:bottom w:w="0" w:type="dxa"/>
            </w:tcMar>
            <w:vAlign w:val="center"/>
          </w:tcPr>
          <w:p w14:paraId="6CA9D86B" w14:textId="77777777" w:rsidR="00633DD1" w:rsidRDefault="00000000">
            <w:pPr>
              <w:keepNext/>
              <w:keepLines/>
              <w:spacing w:after="0" w:line="240" w:lineRule="auto"/>
              <w:jc w:val="right"/>
            </w:pPr>
            <w:r>
              <w:rPr>
                <w:sz w:val="18"/>
              </w:rPr>
              <w:t>1,0</w:t>
            </w:r>
          </w:p>
        </w:tc>
      </w:tr>
    </w:tbl>
    <w:p w14:paraId="1DA2B73E" w14:textId="77777777" w:rsidR="00633DD1" w:rsidRDefault="00633DD1">
      <w:pPr>
        <w:spacing w:after="0"/>
      </w:pPr>
    </w:p>
    <w:p w14:paraId="065C93E7" w14:textId="77777777" w:rsidR="00633DD1" w:rsidRDefault="00000000">
      <w:r>
        <w:lastRenderedPageBreak/>
        <w:t>Postrojenja i oprema u ovom izvještajnom razdoblju su manji za 99% u odnosu na prošlogodišnje izvještajno razdoblje radi manje nabave uredske, glazbene, sportske i ostale opreme. </w:t>
      </w:r>
    </w:p>
    <w:p w14:paraId="28A2B83F" w14:textId="77777777" w:rsidR="00633DD1" w:rsidRDefault="00633DD1"/>
    <w:p w14:paraId="05830CA0" w14:textId="77777777" w:rsidR="00633DD1"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5EEBE2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881166"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101D2A"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3BCD6A"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4450C5"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B79BF"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DA689C" w14:textId="77777777" w:rsidR="00633DD1" w:rsidRDefault="00000000">
            <w:pPr>
              <w:keepNext/>
              <w:keepLines/>
              <w:spacing w:after="0" w:line="240" w:lineRule="auto"/>
              <w:jc w:val="center"/>
            </w:pPr>
            <w:r>
              <w:rPr>
                <w:b/>
                <w:sz w:val="18"/>
              </w:rPr>
              <w:t>Indeks (%)</w:t>
            </w:r>
          </w:p>
        </w:tc>
      </w:tr>
      <w:tr w:rsidR="00633DD1" w14:paraId="365DB424" w14:textId="77777777">
        <w:tblPrEx>
          <w:tblCellMar>
            <w:top w:w="0" w:type="dxa"/>
            <w:bottom w:w="0" w:type="dxa"/>
          </w:tblCellMar>
        </w:tblPrEx>
        <w:trPr>
          <w:cantSplit/>
          <w:trHeight w:val="560"/>
        </w:trPr>
        <w:tc>
          <w:tcPr>
            <w:tcW w:w="700" w:type="dxa"/>
            <w:tcMar>
              <w:top w:w="0" w:type="dxa"/>
              <w:bottom w:w="0" w:type="dxa"/>
            </w:tcMar>
            <w:vAlign w:val="center"/>
          </w:tcPr>
          <w:p w14:paraId="1A5AE49E" w14:textId="77777777" w:rsidR="00633DD1" w:rsidRDefault="00000000">
            <w:pPr>
              <w:keepNext/>
              <w:keepLines/>
              <w:spacing w:after="0" w:line="240" w:lineRule="auto"/>
            </w:pPr>
            <w:r>
              <w:rPr>
                <w:sz w:val="18"/>
              </w:rPr>
              <w:t>451</w:t>
            </w:r>
          </w:p>
        </w:tc>
        <w:tc>
          <w:tcPr>
            <w:tcW w:w="3180" w:type="dxa"/>
            <w:tcMar>
              <w:top w:w="0" w:type="dxa"/>
              <w:bottom w:w="0" w:type="dxa"/>
            </w:tcMar>
            <w:vAlign w:val="center"/>
          </w:tcPr>
          <w:p w14:paraId="2C013387" w14:textId="77777777" w:rsidR="00633DD1"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5228960" w14:textId="77777777" w:rsidR="00633DD1" w:rsidRDefault="00000000">
            <w:pPr>
              <w:keepNext/>
              <w:keepLines/>
              <w:spacing w:after="0" w:line="240" w:lineRule="auto"/>
            </w:pPr>
            <w:r>
              <w:rPr>
                <w:sz w:val="18"/>
              </w:rPr>
              <w:t>451</w:t>
            </w:r>
          </w:p>
        </w:tc>
        <w:tc>
          <w:tcPr>
            <w:tcW w:w="1860" w:type="dxa"/>
            <w:tcMar>
              <w:top w:w="0" w:type="dxa"/>
              <w:bottom w:w="0" w:type="dxa"/>
            </w:tcMar>
            <w:vAlign w:val="center"/>
          </w:tcPr>
          <w:p w14:paraId="58FCFEB7" w14:textId="77777777" w:rsidR="00633DD1" w:rsidRDefault="00000000">
            <w:pPr>
              <w:keepNext/>
              <w:keepLines/>
              <w:spacing w:after="0" w:line="240" w:lineRule="auto"/>
              <w:jc w:val="right"/>
            </w:pPr>
            <w:r>
              <w:rPr>
                <w:sz w:val="18"/>
              </w:rPr>
              <w:t>184.791,72</w:t>
            </w:r>
          </w:p>
        </w:tc>
        <w:tc>
          <w:tcPr>
            <w:tcW w:w="1860" w:type="dxa"/>
            <w:tcMar>
              <w:top w:w="0" w:type="dxa"/>
              <w:bottom w:w="0" w:type="dxa"/>
            </w:tcMar>
            <w:vAlign w:val="center"/>
          </w:tcPr>
          <w:p w14:paraId="7CC4A052" w14:textId="77777777" w:rsidR="00633DD1" w:rsidRDefault="00000000">
            <w:pPr>
              <w:keepNext/>
              <w:keepLines/>
              <w:spacing w:after="0" w:line="240" w:lineRule="auto"/>
              <w:jc w:val="right"/>
            </w:pPr>
            <w:r>
              <w:rPr>
                <w:sz w:val="18"/>
              </w:rPr>
              <w:t>57.942,50</w:t>
            </w:r>
          </w:p>
        </w:tc>
        <w:tc>
          <w:tcPr>
            <w:tcW w:w="700" w:type="dxa"/>
            <w:tcMar>
              <w:top w:w="0" w:type="dxa"/>
              <w:bottom w:w="0" w:type="dxa"/>
            </w:tcMar>
            <w:vAlign w:val="center"/>
          </w:tcPr>
          <w:p w14:paraId="1E4774EF" w14:textId="77777777" w:rsidR="00633DD1" w:rsidRDefault="00000000">
            <w:pPr>
              <w:keepNext/>
              <w:keepLines/>
              <w:spacing w:after="0" w:line="240" w:lineRule="auto"/>
              <w:jc w:val="right"/>
            </w:pPr>
            <w:r>
              <w:rPr>
                <w:sz w:val="18"/>
              </w:rPr>
              <w:t>31,4</w:t>
            </w:r>
          </w:p>
        </w:tc>
      </w:tr>
    </w:tbl>
    <w:p w14:paraId="43D48F36" w14:textId="77777777" w:rsidR="00633DD1" w:rsidRDefault="00633DD1">
      <w:pPr>
        <w:spacing w:after="0"/>
      </w:pPr>
    </w:p>
    <w:p w14:paraId="4C86E50E" w14:textId="77777777" w:rsidR="00633DD1" w:rsidRDefault="00000000">
      <w:r>
        <w:t>Rashodi za dodatna ulaganja na građevinskim objektima su u ovom izvještajno razdoblju manji za 68,6% u odnosu na prošlogodišnje izvještajno razdoblje jer su realizirani započeti kapitalni projekti.</w:t>
      </w:r>
    </w:p>
    <w:p w14:paraId="6E0E2D23" w14:textId="77777777" w:rsidR="00633DD1" w:rsidRDefault="00633DD1"/>
    <w:p w14:paraId="30E69CDD" w14:textId="77777777" w:rsidR="00633DD1" w:rsidRDefault="00000000">
      <w:pPr>
        <w:keepNext/>
        <w:spacing w:line="240" w:lineRule="auto"/>
        <w:jc w:val="center"/>
      </w:pPr>
      <w:r>
        <w:rPr>
          <w:b/>
          <w:sz w:val="28"/>
        </w:rPr>
        <w:t>Bilanca</w:t>
      </w:r>
    </w:p>
    <w:p w14:paraId="1A1C9B96" w14:textId="77777777" w:rsidR="00633DD1"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1E8D23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89800A"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01E276"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59B91D"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1F44E9"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2A35B0A"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FE8518B" w14:textId="77777777" w:rsidR="00633DD1" w:rsidRDefault="00000000">
            <w:pPr>
              <w:keepNext/>
              <w:keepLines/>
              <w:spacing w:after="0" w:line="240" w:lineRule="auto"/>
              <w:jc w:val="center"/>
            </w:pPr>
            <w:r>
              <w:rPr>
                <w:b/>
                <w:sz w:val="18"/>
              </w:rPr>
              <w:t>Indeks (%)</w:t>
            </w:r>
          </w:p>
        </w:tc>
      </w:tr>
      <w:tr w:rsidR="00633DD1" w14:paraId="3B4351CE" w14:textId="77777777">
        <w:tblPrEx>
          <w:tblCellMar>
            <w:top w:w="0" w:type="dxa"/>
            <w:bottom w:w="0" w:type="dxa"/>
          </w:tblCellMar>
        </w:tblPrEx>
        <w:trPr>
          <w:cantSplit/>
          <w:trHeight w:val="560"/>
        </w:trPr>
        <w:tc>
          <w:tcPr>
            <w:tcW w:w="700" w:type="dxa"/>
            <w:tcMar>
              <w:top w:w="0" w:type="dxa"/>
              <w:bottom w:w="0" w:type="dxa"/>
            </w:tcMar>
            <w:vAlign w:val="center"/>
          </w:tcPr>
          <w:p w14:paraId="278C6D57" w14:textId="77777777" w:rsidR="00633DD1" w:rsidRDefault="00000000">
            <w:pPr>
              <w:keepNext/>
              <w:keepLines/>
              <w:spacing w:after="0" w:line="240" w:lineRule="auto"/>
            </w:pPr>
            <w:r>
              <w:rPr>
                <w:sz w:val="18"/>
              </w:rPr>
              <w:t>01</w:t>
            </w:r>
          </w:p>
        </w:tc>
        <w:tc>
          <w:tcPr>
            <w:tcW w:w="3180" w:type="dxa"/>
            <w:tcMar>
              <w:top w:w="0" w:type="dxa"/>
              <w:bottom w:w="0" w:type="dxa"/>
            </w:tcMar>
            <w:vAlign w:val="center"/>
          </w:tcPr>
          <w:p w14:paraId="514B6837" w14:textId="77777777" w:rsidR="00633DD1" w:rsidRDefault="00000000">
            <w:pPr>
              <w:keepNext/>
              <w:keepLines/>
              <w:spacing w:after="0" w:line="240" w:lineRule="auto"/>
            </w:pPr>
            <w:r>
              <w:rPr>
                <w:sz w:val="18"/>
              </w:rPr>
              <w:t>Neproizvedena dugotrajna imovina (šifre 011+012-019)</w:t>
            </w:r>
          </w:p>
        </w:tc>
        <w:tc>
          <w:tcPr>
            <w:tcW w:w="700" w:type="dxa"/>
            <w:tcMar>
              <w:top w:w="0" w:type="dxa"/>
              <w:bottom w:w="0" w:type="dxa"/>
            </w:tcMar>
            <w:vAlign w:val="center"/>
          </w:tcPr>
          <w:p w14:paraId="54E9D601" w14:textId="77777777" w:rsidR="00633DD1" w:rsidRDefault="00000000">
            <w:pPr>
              <w:keepNext/>
              <w:keepLines/>
              <w:spacing w:after="0" w:line="240" w:lineRule="auto"/>
            </w:pPr>
            <w:r>
              <w:rPr>
                <w:sz w:val="18"/>
              </w:rPr>
              <w:t>01</w:t>
            </w:r>
          </w:p>
        </w:tc>
        <w:tc>
          <w:tcPr>
            <w:tcW w:w="1860" w:type="dxa"/>
            <w:tcMar>
              <w:top w:w="0" w:type="dxa"/>
              <w:bottom w:w="0" w:type="dxa"/>
            </w:tcMar>
            <w:vAlign w:val="center"/>
          </w:tcPr>
          <w:p w14:paraId="29C3BDE7" w14:textId="77777777" w:rsidR="00633DD1" w:rsidRDefault="00000000">
            <w:pPr>
              <w:keepNext/>
              <w:keepLines/>
              <w:spacing w:after="0" w:line="240" w:lineRule="auto"/>
              <w:jc w:val="right"/>
            </w:pPr>
            <w:r>
              <w:rPr>
                <w:sz w:val="18"/>
              </w:rPr>
              <w:t>1.063.928,06</w:t>
            </w:r>
          </w:p>
        </w:tc>
        <w:tc>
          <w:tcPr>
            <w:tcW w:w="1860" w:type="dxa"/>
            <w:tcMar>
              <w:top w:w="0" w:type="dxa"/>
              <w:bottom w:w="0" w:type="dxa"/>
            </w:tcMar>
            <w:vAlign w:val="center"/>
          </w:tcPr>
          <w:p w14:paraId="55592314" w14:textId="77777777" w:rsidR="00633DD1" w:rsidRDefault="00000000">
            <w:pPr>
              <w:keepNext/>
              <w:keepLines/>
              <w:spacing w:after="0" w:line="240" w:lineRule="auto"/>
              <w:jc w:val="right"/>
            </w:pPr>
            <w:r>
              <w:rPr>
                <w:sz w:val="18"/>
              </w:rPr>
              <w:t>68.476,60</w:t>
            </w:r>
          </w:p>
        </w:tc>
        <w:tc>
          <w:tcPr>
            <w:tcW w:w="700" w:type="dxa"/>
            <w:tcMar>
              <w:top w:w="0" w:type="dxa"/>
              <w:bottom w:w="0" w:type="dxa"/>
            </w:tcMar>
            <w:vAlign w:val="center"/>
          </w:tcPr>
          <w:p w14:paraId="57A3A023" w14:textId="77777777" w:rsidR="00633DD1" w:rsidRDefault="00000000">
            <w:pPr>
              <w:keepNext/>
              <w:keepLines/>
              <w:spacing w:after="0" w:line="240" w:lineRule="auto"/>
              <w:jc w:val="right"/>
            </w:pPr>
            <w:r>
              <w:rPr>
                <w:sz w:val="18"/>
              </w:rPr>
              <w:t>6,4</w:t>
            </w:r>
          </w:p>
        </w:tc>
      </w:tr>
    </w:tbl>
    <w:p w14:paraId="20A625AD" w14:textId="77777777" w:rsidR="00633DD1" w:rsidRDefault="00633DD1">
      <w:pPr>
        <w:spacing w:after="0"/>
      </w:pPr>
    </w:p>
    <w:p w14:paraId="21002F86" w14:textId="77777777" w:rsidR="00633DD1" w:rsidRDefault="00000000">
      <w:r>
        <w:t>Neproizvedena dugotrajna imovina smanjena je u odnosu na proteklu godinu zbog usklade konta odnosno prijenosa ostalog zemljišta na ostale građevinske objekte. </w:t>
      </w:r>
    </w:p>
    <w:p w14:paraId="1F2BDAB5" w14:textId="77777777" w:rsidR="00633DD1" w:rsidRDefault="00633DD1"/>
    <w:p w14:paraId="70721FFA" w14:textId="77777777" w:rsidR="00633DD1"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48AA38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41ABEF"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6DE23E"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8D2603"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F8117D"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C3BE6E"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6D4985" w14:textId="77777777" w:rsidR="00633DD1" w:rsidRDefault="00000000">
            <w:pPr>
              <w:keepNext/>
              <w:keepLines/>
              <w:spacing w:after="0" w:line="240" w:lineRule="auto"/>
              <w:jc w:val="center"/>
            </w:pPr>
            <w:r>
              <w:rPr>
                <w:b/>
                <w:sz w:val="18"/>
              </w:rPr>
              <w:t>Indeks (%)</w:t>
            </w:r>
          </w:p>
        </w:tc>
      </w:tr>
      <w:tr w:rsidR="00633DD1" w14:paraId="4E0071AE" w14:textId="77777777">
        <w:tblPrEx>
          <w:tblCellMar>
            <w:top w:w="0" w:type="dxa"/>
            <w:bottom w:w="0" w:type="dxa"/>
          </w:tblCellMar>
        </w:tblPrEx>
        <w:trPr>
          <w:cantSplit/>
          <w:trHeight w:val="560"/>
        </w:trPr>
        <w:tc>
          <w:tcPr>
            <w:tcW w:w="700" w:type="dxa"/>
            <w:tcMar>
              <w:top w:w="0" w:type="dxa"/>
              <w:bottom w:w="0" w:type="dxa"/>
            </w:tcMar>
            <w:vAlign w:val="center"/>
          </w:tcPr>
          <w:p w14:paraId="454E0C82" w14:textId="77777777" w:rsidR="00633DD1" w:rsidRDefault="00000000">
            <w:pPr>
              <w:keepNext/>
              <w:keepLines/>
              <w:spacing w:after="0" w:line="240" w:lineRule="auto"/>
            </w:pPr>
            <w:r>
              <w:rPr>
                <w:sz w:val="18"/>
              </w:rPr>
              <w:t>042</w:t>
            </w:r>
          </w:p>
        </w:tc>
        <w:tc>
          <w:tcPr>
            <w:tcW w:w="3180" w:type="dxa"/>
            <w:tcMar>
              <w:top w:w="0" w:type="dxa"/>
              <w:bottom w:w="0" w:type="dxa"/>
            </w:tcMar>
            <w:vAlign w:val="center"/>
          </w:tcPr>
          <w:p w14:paraId="5E42BD21" w14:textId="77777777" w:rsidR="00633DD1" w:rsidRDefault="00000000">
            <w:pPr>
              <w:keepNext/>
              <w:keepLines/>
              <w:spacing w:after="0" w:line="240" w:lineRule="auto"/>
            </w:pPr>
            <w:r>
              <w:rPr>
                <w:sz w:val="18"/>
              </w:rPr>
              <w:t>Sitni inventar i autogume u upotrebi</w:t>
            </w:r>
          </w:p>
        </w:tc>
        <w:tc>
          <w:tcPr>
            <w:tcW w:w="700" w:type="dxa"/>
            <w:tcMar>
              <w:top w:w="0" w:type="dxa"/>
              <w:bottom w:w="0" w:type="dxa"/>
            </w:tcMar>
            <w:vAlign w:val="center"/>
          </w:tcPr>
          <w:p w14:paraId="415E7607" w14:textId="77777777" w:rsidR="00633DD1" w:rsidRDefault="00000000">
            <w:pPr>
              <w:keepNext/>
              <w:keepLines/>
              <w:spacing w:after="0" w:line="240" w:lineRule="auto"/>
            </w:pPr>
            <w:r>
              <w:rPr>
                <w:sz w:val="18"/>
              </w:rPr>
              <w:t>042</w:t>
            </w:r>
          </w:p>
        </w:tc>
        <w:tc>
          <w:tcPr>
            <w:tcW w:w="1860" w:type="dxa"/>
            <w:tcMar>
              <w:top w:w="0" w:type="dxa"/>
              <w:bottom w:w="0" w:type="dxa"/>
            </w:tcMar>
            <w:vAlign w:val="center"/>
          </w:tcPr>
          <w:p w14:paraId="5FE2B89E" w14:textId="77777777" w:rsidR="00633DD1" w:rsidRDefault="00000000">
            <w:pPr>
              <w:keepNext/>
              <w:keepLines/>
              <w:spacing w:after="0" w:line="240" w:lineRule="auto"/>
              <w:jc w:val="right"/>
            </w:pPr>
            <w:r>
              <w:rPr>
                <w:sz w:val="18"/>
              </w:rPr>
              <w:t>25.951,57</w:t>
            </w:r>
          </w:p>
        </w:tc>
        <w:tc>
          <w:tcPr>
            <w:tcW w:w="1860" w:type="dxa"/>
            <w:tcMar>
              <w:top w:w="0" w:type="dxa"/>
              <w:bottom w:w="0" w:type="dxa"/>
            </w:tcMar>
            <w:vAlign w:val="center"/>
          </w:tcPr>
          <w:p w14:paraId="17D16995" w14:textId="77777777" w:rsidR="00633DD1" w:rsidRDefault="00000000">
            <w:pPr>
              <w:keepNext/>
              <w:keepLines/>
              <w:spacing w:after="0" w:line="240" w:lineRule="auto"/>
              <w:jc w:val="right"/>
            </w:pPr>
            <w:r>
              <w:rPr>
                <w:sz w:val="18"/>
              </w:rPr>
              <w:t>30.908,92</w:t>
            </w:r>
          </w:p>
        </w:tc>
        <w:tc>
          <w:tcPr>
            <w:tcW w:w="700" w:type="dxa"/>
            <w:tcMar>
              <w:top w:w="0" w:type="dxa"/>
              <w:bottom w:w="0" w:type="dxa"/>
            </w:tcMar>
            <w:vAlign w:val="center"/>
          </w:tcPr>
          <w:p w14:paraId="57CC26FC" w14:textId="77777777" w:rsidR="00633DD1" w:rsidRDefault="00000000">
            <w:pPr>
              <w:keepNext/>
              <w:keepLines/>
              <w:spacing w:after="0" w:line="240" w:lineRule="auto"/>
              <w:jc w:val="right"/>
            </w:pPr>
            <w:r>
              <w:rPr>
                <w:sz w:val="18"/>
              </w:rPr>
              <w:t>119,1</w:t>
            </w:r>
          </w:p>
        </w:tc>
      </w:tr>
    </w:tbl>
    <w:p w14:paraId="0215FBC7" w14:textId="77777777" w:rsidR="00633DD1" w:rsidRDefault="00633DD1">
      <w:pPr>
        <w:spacing w:after="0"/>
      </w:pPr>
    </w:p>
    <w:p w14:paraId="2068B36C" w14:textId="77777777" w:rsidR="00633DD1" w:rsidRDefault="00000000">
      <w:r>
        <w:t>Veća je nabava sitnog inventara (razglas i ostale komponente te ostali sitni inventar).</w:t>
      </w:r>
    </w:p>
    <w:p w14:paraId="6BB7FD91" w14:textId="77777777" w:rsidR="00633DD1" w:rsidRDefault="00633DD1"/>
    <w:p w14:paraId="0C879186" w14:textId="77777777" w:rsidR="00633DD1" w:rsidRDefault="00000000">
      <w:pPr>
        <w:keepNext/>
        <w:spacing w:line="240" w:lineRule="auto"/>
        <w:jc w:val="center"/>
      </w:pPr>
      <w:r>
        <w:rPr>
          <w:sz w:val="28"/>
        </w:rPr>
        <w:lastRenderedPageBreak/>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599860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E6803F"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D2BE0F"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D24919"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4B2378"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9C6ED6"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E54E315" w14:textId="77777777" w:rsidR="00633DD1" w:rsidRDefault="00000000">
            <w:pPr>
              <w:keepNext/>
              <w:keepLines/>
              <w:spacing w:after="0" w:line="240" w:lineRule="auto"/>
              <w:jc w:val="center"/>
            </w:pPr>
            <w:r>
              <w:rPr>
                <w:b/>
                <w:sz w:val="18"/>
              </w:rPr>
              <w:t>Indeks (%)</w:t>
            </w:r>
          </w:p>
        </w:tc>
      </w:tr>
      <w:tr w:rsidR="00633DD1" w14:paraId="1ED14F17" w14:textId="77777777">
        <w:tblPrEx>
          <w:tblCellMar>
            <w:top w:w="0" w:type="dxa"/>
            <w:bottom w:w="0" w:type="dxa"/>
          </w:tblCellMar>
        </w:tblPrEx>
        <w:trPr>
          <w:cantSplit/>
          <w:trHeight w:val="560"/>
        </w:trPr>
        <w:tc>
          <w:tcPr>
            <w:tcW w:w="700" w:type="dxa"/>
            <w:tcMar>
              <w:top w:w="0" w:type="dxa"/>
              <w:bottom w:w="0" w:type="dxa"/>
            </w:tcMar>
            <w:vAlign w:val="center"/>
          </w:tcPr>
          <w:p w14:paraId="45AFF1AD" w14:textId="77777777" w:rsidR="00633DD1" w:rsidRDefault="00000000">
            <w:pPr>
              <w:keepNext/>
              <w:keepLines/>
              <w:spacing w:after="0" w:line="240" w:lineRule="auto"/>
            </w:pPr>
            <w:r>
              <w:rPr>
                <w:sz w:val="18"/>
              </w:rPr>
              <w:t>05</w:t>
            </w:r>
          </w:p>
        </w:tc>
        <w:tc>
          <w:tcPr>
            <w:tcW w:w="3180" w:type="dxa"/>
            <w:tcMar>
              <w:top w:w="0" w:type="dxa"/>
              <w:bottom w:w="0" w:type="dxa"/>
            </w:tcMar>
            <w:vAlign w:val="center"/>
          </w:tcPr>
          <w:p w14:paraId="09D74F92" w14:textId="77777777" w:rsidR="00633DD1" w:rsidRDefault="00000000">
            <w:pPr>
              <w:keepNext/>
              <w:keepLines/>
              <w:spacing w:after="0" w:line="240" w:lineRule="auto"/>
            </w:pPr>
            <w:r>
              <w:rPr>
                <w:sz w:val="18"/>
              </w:rPr>
              <w:t>Dugotrajna nefinancijska imovina u pripremi (šifre 051 do 056)</w:t>
            </w:r>
          </w:p>
        </w:tc>
        <w:tc>
          <w:tcPr>
            <w:tcW w:w="700" w:type="dxa"/>
            <w:tcMar>
              <w:top w:w="0" w:type="dxa"/>
              <w:bottom w:w="0" w:type="dxa"/>
            </w:tcMar>
            <w:vAlign w:val="center"/>
          </w:tcPr>
          <w:p w14:paraId="24143FB9" w14:textId="77777777" w:rsidR="00633DD1" w:rsidRDefault="00000000">
            <w:pPr>
              <w:keepNext/>
              <w:keepLines/>
              <w:spacing w:after="0" w:line="240" w:lineRule="auto"/>
            </w:pPr>
            <w:r>
              <w:rPr>
                <w:sz w:val="18"/>
              </w:rPr>
              <w:t>05</w:t>
            </w:r>
          </w:p>
        </w:tc>
        <w:tc>
          <w:tcPr>
            <w:tcW w:w="1860" w:type="dxa"/>
            <w:tcMar>
              <w:top w:w="0" w:type="dxa"/>
              <w:bottom w:w="0" w:type="dxa"/>
            </w:tcMar>
            <w:vAlign w:val="center"/>
          </w:tcPr>
          <w:p w14:paraId="37DD7213" w14:textId="77777777" w:rsidR="00633DD1" w:rsidRDefault="00000000">
            <w:pPr>
              <w:keepNext/>
              <w:keepLines/>
              <w:spacing w:after="0" w:line="240" w:lineRule="auto"/>
              <w:jc w:val="right"/>
            </w:pPr>
            <w:r>
              <w:rPr>
                <w:sz w:val="18"/>
              </w:rPr>
              <w:t>240.745,91</w:t>
            </w:r>
          </w:p>
        </w:tc>
        <w:tc>
          <w:tcPr>
            <w:tcW w:w="1860" w:type="dxa"/>
            <w:tcMar>
              <w:top w:w="0" w:type="dxa"/>
              <w:bottom w:w="0" w:type="dxa"/>
            </w:tcMar>
            <w:vAlign w:val="center"/>
          </w:tcPr>
          <w:p w14:paraId="456E22E3" w14:textId="77777777" w:rsidR="00633DD1" w:rsidRDefault="00000000">
            <w:pPr>
              <w:keepNext/>
              <w:keepLines/>
              <w:spacing w:after="0" w:line="240" w:lineRule="auto"/>
              <w:jc w:val="right"/>
            </w:pPr>
            <w:r>
              <w:rPr>
                <w:sz w:val="18"/>
              </w:rPr>
              <w:t>460.415,79</w:t>
            </w:r>
          </w:p>
        </w:tc>
        <w:tc>
          <w:tcPr>
            <w:tcW w:w="700" w:type="dxa"/>
            <w:tcMar>
              <w:top w:w="0" w:type="dxa"/>
              <w:bottom w:w="0" w:type="dxa"/>
            </w:tcMar>
            <w:vAlign w:val="center"/>
          </w:tcPr>
          <w:p w14:paraId="2D3D2C18" w14:textId="77777777" w:rsidR="00633DD1" w:rsidRDefault="00000000">
            <w:pPr>
              <w:keepNext/>
              <w:keepLines/>
              <w:spacing w:after="0" w:line="240" w:lineRule="auto"/>
              <w:jc w:val="right"/>
            </w:pPr>
            <w:r>
              <w:rPr>
                <w:sz w:val="18"/>
              </w:rPr>
              <w:t>191,2</w:t>
            </w:r>
          </w:p>
        </w:tc>
      </w:tr>
    </w:tbl>
    <w:p w14:paraId="5ED3EBF0" w14:textId="77777777" w:rsidR="00633DD1" w:rsidRDefault="00633DD1">
      <w:pPr>
        <w:spacing w:after="0"/>
      </w:pPr>
    </w:p>
    <w:p w14:paraId="030F3414" w14:textId="77777777" w:rsidR="00633DD1" w:rsidRDefault="00000000">
      <w:r>
        <w:t>Dugotrajna nefinancijska imovina u pripremi sadrži kapitalne projekte koji su u tijeku (aglomeracija, uređenje pješačke staze, zelena urbana obnova i sl).</w:t>
      </w:r>
    </w:p>
    <w:p w14:paraId="794D873A" w14:textId="77777777" w:rsidR="00633DD1" w:rsidRDefault="00633DD1"/>
    <w:p w14:paraId="2E49C378" w14:textId="77777777" w:rsidR="00633DD1"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FD981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DCA5B0"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CD3BA2"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75A8DE"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DC1F85"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B2071C"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CC79630" w14:textId="77777777" w:rsidR="00633DD1" w:rsidRDefault="00000000">
            <w:pPr>
              <w:keepNext/>
              <w:keepLines/>
              <w:spacing w:after="0" w:line="240" w:lineRule="auto"/>
              <w:jc w:val="center"/>
            </w:pPr>
            <w:r>
              <w:rPr>
                <w:b/>
                <w:sz w:val="18"/>
              </w:rPr>
              <w:t>Indeks (%)</w:t>
            </w:r>
          </w:p>
        </w:tc>
      </w:tr>
      <w:tr w:rsidR="00633DD1" w14:paraId="60D4EB59" w14:textId="77777777">
        <w:tblPrEx>
          <w:tblCellMar>
            <w:top w:w="0" w:type="dxa"/>
            <w:bottom w:w="0" w:type="dxa"/>
          </w:tblCellMar>
        </w:tblPrEx>
        <w:trPr>
          <w:cantSplit/>
          <w:trHeight w:val="560"/>
        </w:trPr>
        <w:tc>
          <w:tcPr>
            <w:tcW w:w="700" w:type="dxa"/>
            <w:tcMar>
              <w:top w:w="0" w:type="dxa"/>
              <w:bottom w:w="0" w:type="dxa"/>
            </w:tcMar>
            <w:vAlign w:val="center"/>
          </w:tcPr>
          <w:p w14:paraId="563DC86E" w14:textId="77777777" w:rsidR="00633DD1" w:rsidRDefault="00000000">
            <w:pPr>
              <w:keepNext/>
              <w:keepLines/>
              <w:spacing w:after="0" w:line="240" w:lineRule="auto"/>
            </w:pPr>
            <w:r>
              <w:rPr>
                <w:sz w:val="18"/>
              </w:rPr>
              <w:t>1</w:t>
            </w:r>
          </w:p>
        </w:tc>
        <w:tc>
          <w:tcPr>
            <w:tcW w:w="3180" w:type="dxa"/>
            <w:tcMar>
              <w:top w:w="0" w:type="dxa"/>
              <w:bottom w:w="0" w:type="dxa"/>
            </w:tcMar>
            <w:vAlign w:val="center"/>
          </w:tcPr>
          <w:p w14:paraId="1B3F1495" w14:textId="77777777" w:rsidR="00633DD1" w:rsidRDefault="00000000">
            <w:pPr>
              <w:keepNext/>
              <w:keepLines/>
              <w:spacing w:after="0" w:line="240" w:lineRule="auto"/>
            </w:pPr>
            <w:r>
              <w:rPr>
                <w:sz w:val="18"/>
              </w:rPr>
              <w:t>Financijska imovina (šifre 11+12+13+14+15+16+17+19)</w:t>
            </w:r>
          </w:p>
        </w:tc>
        <w:tc>
          <w:tcPr>
            <w:tcW w:w="700" w:type="dxa"/>
            <w:tcMar>
              <w:top w:w="0" w:type="dxa"/>
              <w:bottom w:w="0" w:type="dxa"/>
            </w:tcMar>
            <w:vAlign w:val="center"/>
          </w:tcPr>
          <w:p w14:paraId="5E054BD4" w14:textId="77777777" w:rsidR="00633DD1" w:rsidRDefault="00000000">
            <w:pPr>
              <w:keepNext/>
              <w:keepLines/>
              <w:spacing w:after="0" w:line="240" w:lineRule="auto"/>
            </w:pPr>
            <w:r>
              <w:rPr>
                <w:sz w:val="18"/>
              </w:rPr>
              <w:t>1</w:t>
            </w:r>
          </w:p>
        </w:tc>
        <w:tc>
          <w:tcPr>
            <w:tcW w:w="1860" w:type="dxa"/>
            <w:tcMar>
              <w:top w:w="0" w:type="dxa"/>
              <w:bottom w:w="0" w:type="dxa"/>
            </w:tcMar>
            <w:vAlign w:val="center"/>
          </w:tcPr>
          <w:p w14:paraId="0C3AEA99" w14:textId="77777777" w:rsidR="00633DD1" w:rsidRDefault="00000000">
            <w:pPr>
              <w:keepNext/>
              <w:keepLines/>
              <w:spacing w:after="0" w:line="240" w:lineRule="auto"/>
              <w:jc w:val="right"/>
            </w:pPr>
            <w:r>
              <w:rPr>
                <w:sz w:val="18"/>
              </w:rPr>
              <w:t>164.665,29</w:t>
            </w:r>
          </w:p>
        </w:tc>
        <w:tc>
          <w:tcPr>
            <w:tcW w:w="1860" w:type="dxa"/>
            <w:tcMar>
              <w:top w:w="0" w:type="dxa"/>
              <w:bottom w:w="0" w:type="dxa"/>
            </w:tcMar>
            <w:vAlign w:val="center"/>
          </w:tcPr>
          <w:p w14:paraId="4B46963F" w14:textId="77777777" w:rsidR="00633DD1" w:rsidRDefault="00000000">
            <w:pPr>
              <w:keepNext/>
              <w:keepLines/>
              <w:spacing w:after="0" w:line="240" w:lineRule="auto"/>
              <w:jc w:val="right"/>
            </w:pPr>
            <w:r>
              <w:rPr>
                <w:sz w:val="18"/>
              </w:rPr>
              <w:t>217.126,16</w:t>
            </w:r>
          </w:p>
        </w:tc>
        <w:tc>
          <w:tcPr>
            <w:tcW w:w="700" w:type="dxa"/>
            <w:tcMar>
              <w:top w:w="0" w:type="dxa"/>
              <w:bottom w:w="0" w:type="dxa"/>
            </w:tcMar>
            <w:vAlign w:val="center"/>
          </w:tcPr>
          <w:p w14:paraId="6DFEBE3C" w14:textId="77777777" w:rsidR="00633DD1" w:rsidRDefault="00000000">
            <w:pPr>
              <w:keepNext/>
              <w:keepLines/>
              <w:spacing w:after="0" w:line="240" w:lineRule="auto"/>
              <w:jc w:val="right"/>
            </w:pPr>
            <w:r>
              <w:rPr>
                <w:sz w:val="18"/>
              </w:rPr>
              <w:t>131,9</w:t>
            </w:r>
          </w:p>
        </w:tc>
      </w:tr>
    </w:tbl>
    <w:p w14:paraId="6355905E" w14:textId="77777777" w:rsidR="00633DD1" w:rsidRDefault="00633DD1">
      <w:pPr>
        <w:spacing w:after="0"/>
      </w:pPr>
    </w:p>
    <w:p w14:paraId="64905A96" w14:textId="77777777" w:rsidR="00633DD1" w:rsidRDefault="00000000">
      <w:r>
        <w:t>Sa 31.12.2025. godine je zatvoren žiro račun proračunskog korisnika dječjeg vrtića Košutica Ferdinandovac te su preostala sredstva proslijeđena na naš žiro račun. </w:t>
      </w:r>
    </w:p>
    <w:p w14:paraId="10F010AD" w14:textId="77777777" w:rsidR="00633DD1" w:rsidRDefault="00633DD1"/>
    <w:p w14:paraId="64BC6AB4" w14:textId="77777777" w:rsidR="00633DD1"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AF757F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565B86"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01FF3E"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9C604"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1E4EC9"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7C14BDD"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D8824C5" w14:textId="77777777" w:rsidR="00633DD1" w:rsidRDefault="00000000">
            <w:pPr>
              <w:keepNext/>
              <w:keepLines/>
              <w:spacing w:after="0" w:line="240" w:lineRule="auto"/>
              <w:jc w:val="center"/>
            </w:pPr>
            <w:r>
              <w:rPr>
                <w:b/>
                <w:sz w:val="18"/>
              </w:rPr>
              <w:t>Indeks (%)</w:t>
            </w:r>
          </w:p>
        </w:tc>
      </w:tr>
      <w:tr w:rsidR="00633DD1" w14:paraId="18708316" w14:textId="77777777">
        <w:tblPrEx>
          <w:tblCellMar>
            <w:top w:w="0" w:type="dxa"/>
            <w:bottom w:w="0" w:type="dxa"/>
          </w:tblCellMar>
        </w:tblPrEx>
        <w:trPr>
          <w:cantSplit/>
          <w:trHeight w:val="560"/>
        </w:trPr>
        <w:tc>
          <w:tcPr>
            <w:tcW w:w="700" w:type="dxa"/>
            <w:tcMar>
              <w:top w:w="0" w:type="dxa"/>
              <w:bottom w:w="0" w:type="dxa"/>
            </w:tcMar>
            <w:vAlign w:val="center"/>
          </w:tcPr>
          <w:p w14:paraId="3DF71DC9" w14:textId="77777777" w:rsidR="00633DD1" w:rsidRDefault="00000000">
            <w:pPr>
              <w:keepNext/>
              <w:keepLines/>
              <w:spacing w:after="0" w:line="240" w:lineRule="auto"/>
            </w:pPr>
            <w:r>
              <w:rPr>
                <w:sz w:val="18"/>
              </w:rPr>
              <w:t>16</w:t>
            </w:r>
          </w:p>
        </w:tc>
        <w:tc>
          <w:tcPr>
            <w:tcW w:w="3180" w:type="dxa"/>
            <w:tcMar>
              <w:top w:w="0" w:type="dxa"/>
              <w:bottom w:w="0" w:type="dxa"/>
            </w:tcMar>
            <w:vAlign w:val="center"/>
          </w:tcPr>
          <w:p w14:paraId="4C3E8D8C" w14:textId="77777777" w:rsidR="00633DD1"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16C9126C" w14:textId="77777777" w:rsidR="00633DD1" w:rsidRDefault="00000000">
            <w:pPr>
              <w:keepNext/>
              <w:keepLines/>
              <w:spacing w:after="0" w:line="240" w:lineRule="auto"/>
            </w:pPr>
            <w:r>
              <w:rPr>
                <w:sz w:val="18"/>
              </w:rPr>
              <w:t>16</w:t>
            </w:r>
          </w:p>
        </w:tc>
        <w:tc>
          <w:tcPr>
            <w:tcW w:w="1860" w:type="dxa"/>
            <w:tcMar>
              <w:top w:w="0" w:type="dxa"/>
              <w:bottom w:w="0" w:type="dxa"/>
            </w:tcMar>
            <w:vAlign w:val="center"/>
          </w:tcPr>
          <w:p w14:paraId="3AD4758D" w14:textId="77777777" w:rsidR="00633DD1" w:rsidRDefault="00000000">
            <w:pPr>
              <w:keepNext/>
              <w:keepLines/>
              <w:spacing w:after="0" w:line="240" w:lineRule="auto"/>
              <w:jc w:val="right"/>
            </w:pPr>
            <w:r>
              <w:rPr>
                <w:sz w:val="18"/>
              </w:rPr>
              <w:t>12.815,30</w:t>
            </w:r>
          </w:p>
        </w:tc>
        <w:tc>
          <w:tcPr>
            <w:tcW w:w="1860" w:type="dxa"/>
            <w:tcMar>
              <w:top w:w="0" w:type="dxa"/>
              <w:bottom w:w="0" w:type="dxa"/>
            </w:tcMar>
            <w:vAlign w:val="center"/>
          </w:tcPr>
          <w:p w14:paraId="03AE8488" w14:textId="77777777" w:rsidR="00633DD1" w:rsidRDefault="00000000">
            <w:pPr>
              <w:keepNext/>
              <w:keepLines/>
              <w:spacing w:after="0" w:line="240" w:lineRule="auto"/>
              <w:jc w:val="right"/>
            </w:pPr>
            <w:r>
              <w:rPr>
                <w:sz w:val="18"/>
              </w:rPr>
              <w:t>89.955,04</w:t>
            </w:r>
          </w:p>
        </w:tc>
        <w:tc>
          <w:tcPr>
            <w:tcW w:w="700" w:type="dxa"/>
            <w:tcMar>
              <w:top w:w="0" w:type="dxa"/>
              <w:bottom w:w="0" w:type="dxa"/>
            </w:tcMar>
            <w:vAlign w:val="center"/>
          </w:tcPr>
          <w:p w14:paraId="591F14DF" w14:textId="77777777" w:rsidR="00633DD1" w:rsidRDefault="00000000">
            <w:pPr>
              <w:keepNext/>
              <w:keepLines/>
              <w:spacing w:after="0" w:line="240" w:lineRule="auto"/>
              <w:jc w:val="right"/>
            </w:pPr>
            <w:r>
              <w:rPr>
                <w:sz w:val="18"/>
              </w:rPr>
              <w:t>701,9</w:t>
            </w:r>
          </w:p>
        </w:tc>
      </w:tr>
    </w:tbl>
    <w:p w14:paraId="2F618ED4" w14:textId="77777777" w:rsidR="00633DD1" w:rsidRDefault="00633DD1">
      <w:pPr>
        <w:spacing w:after="0"/>
      </w:pPr>
    </w:p>
    <w:p w14:paraId="4CB11875" w14:textId="77777777" w:rsidR="00633DD1" w:rsidRDefault="00000000">
      <w:r>
        <w:t>Potraživanja za prihode poslovanja su u značajnom porastu radi potraživanja za projekt Brižne ruke podravske te šumski doprinos.</w:t>
      </w:r>
    </w:p>
    <w:p w14:paraId="4104183F" w14:textId="77777777" w:rsidR="00633DD1" w:rsidRDefault="00633DD1"/>
    <w:p w14:paraId="5522F743" w14:textId="77777777" w:rsidR="00633DD1"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6E4873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749F08"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05B9A4"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FAA35"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21A717"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4141684"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1B094C8" w14:textId="77777777" w:rsidR="00633DD1" w:rsidRDefault="00000000">
            <w:pPr>
              <w:keepNext/>
              <w:keepLines/>
              <w:spacing w:after="0" w:line="240" w:lineRule="auto"/>
              <w:jc w:val="center"/>
            </w:pPr>
            <w:r>
              <w:rPr>
                <w:b/>
                <w:sz w:val="18"/>
              </w:rPr>
              <w:t>Indeks (%)</w:t>
            </w:r>
          </w:p>
        </w:tc>
      </w:tr>
      <w:tr w:rsidR="00633DD1" w14:paraId="4BD6ED5D" w14:textId="77777777">
        <w:tblPrEx>
          <w:tblCellMar>
            <w:top w:w="0" w:type="dxa"/>
            <w:bottom w:w="0" w:type="dxa"/>
          </w:tblCellMar>
        </w:tblPrEx>
        <w:trPr>
          <w:cantSplit/>
          <w:trHeight w:val="560"/>
        </w:trPr>
        <w:tc>
          <w:tcPr>
            <w:tcW w:w="700" w:type="dxa"/>
            <w:tcMar>
              <w:top w:w="0" w:type="dxa"/>
              <w:bottom w:w="0" w:type="dxa"/>
            </w:tcMar>
            <w:vAlign w:val="center"/>
          </w:tcPr>
          <w:p w14:paraId="6C811455" w14:textId="77777777" w:rsidR="00633DD1" w:rsidRDefault="00000000">
            <w:pPr>
              <w:keepNext/>
              <w:keepLines/>
              <w:spacing w:after="0" w:line="240" w:lineRule="auto"/>
            </w:pPr>
            <w:r>
              <w:rPr>
                <w:sz w:val="18"/>
              </w:rPr>
              <w:t>2</w:t>
            </w:r>
          </w:p>
        </w:tc>
        <w:tc>
          <w:tcPr>
            <w:tcW w:w="3180" w:type="dxa"/>
            <w:tcMar>
              <w:top w:w="0" w:type="dxa"/>
              <w:bottom w:w="0" w:type="dxa"/>
            </w:tcMar>
            <w:vAlign w:val="center"/>
          </w:tcPr>
          <w:p w14:paraId="2EF5FBD6" w14:textId="77777777" w:rsidR="00633DD1"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DCB1D6E" w14:textId="77777777" w:rsidR="00633DD1" w:rsidRDefault="00000000">
            <w:pPr>
              <w:keepNext/>
              <w:keepLines/>
              <w:spacing w:after="0" w:line="240" w:lineRule="auto"/>
            </w:pPr>
            <w:r>
              <w:rPr>
                <w:sz w:val="18"/>
              </w:rPr>
              <w:t>2</w:t>
            </w:r>
          </w:p>
        </w:tc>
        <w:tc>
          <w:tcPr>
            <w:tcW w:w="1860" w:type="dxa"/>
            <w:tcMar>
              <w:top w:w="0" w:type="dxa"/>
              <w:bottom w:w="0" w:type="dxa"/>
            </w:tcMar>
            <w:vAlign w:val="center"/>
          </w:tcPr>
          <w:p w14:paraId="6434D2E2" w14:textId="77777777" w:rsidR="00633DD1" w:rsidRDefault="00000000">
            <w:pPr>
              <w:keepNext/>
              <w:keepLines/>
              <w:spacing w:after="0" w:line="240" w:lineRule="auto"/>
              <w:jc w:val="right"/>
            </w:pPr>
            <w:r>
              <w:rPr>
                <w:sz w:val="18"/>
              </w:rPr>
              <w:t>44.882,71</w:t>
            </w:r>
          </w:p>
        </w:tc>
        <w:tc>
          <w:tcPr>
            <w:tcW w:w="1860" w:type="dxa"/>
            <w:tcMar>
              <w:top w:w="0" w:type="dxa"/>
              <w:bottom w:w="0" w:type="dxa"/>
            </w:tcMar>
            <w:vAlign w:val="center"/>
          </w:tcPr>
          <w:p w14:paraId="598B24B5" w14:textId="77777777" w:rsidR="00633DD1" w:rsidRDefault="00000000">
            <w:pPr>
              <w:keepNext/>
              <w:keepLines/>
              <w:spacing w:after="0" w:line="240" w:lineRule="auto"/>
              <w:jc w:val="right"/>
            </w:pPr>
            <w:r>
              <w:rPr>
                <w:sz w:val="18"/>
              </w:rPr>
              <w:t>111.261,08</w:t>
            </w:r>
          </w:p>
        </w:tc>
        <w:tc>
          <w:tcPr>
            <w:tcW w:w="700" w:type="dxa"/>
            <w:tcMar>
              <w:top w:w="0" w:type="dxa"/>
              <w:bottom w:w="0" w:type="dxa"/>
            </w:tcMar>
            <w:vAlign w:val="center"/>
          </w:tcPr>
          <w:p w14:paraId="4A0C1037" w14:textId="77777777" w:rsidR="00633DD1" w:rsidRDefault="00000000">
            <w:pPr>
              <w:keepNext/>
              <w:keepLines/>
              <w:spacing w:after="0" w:line="240" w:lineRule="auto"/>
              <w:jc w:val="right"/>
            </w:pPr>
            <w:r>
              <w:rPr>
                <w:sz w:val="18"/>
              </w:rPr>
              <w:t>247,9</w:t>
            </w:r>
          </w:p>
        </w:tc>
      </w:tr>
    </w:tbl>
    <w:p w14:paraId="0F5CEB65" w14:textId="77777777" w:rsidR="00633DD1" w:rsidRDefault="00633DD1">
      <w:pPr>
        <w:spacing w:after="0"/>
      </w:pPr>
    </w:p>
    <w:p w14:paraId="7ABF36AA" w14:textId="77777777" w:rsidR="00633DD1" w:rsidRDefault="00000000">
      <w:r>
        <w:t>Obveze su značajno veće u odnosu na prošlogodišnje izvještajno razdoblje, sve su nedospjele i redovito se podmiruju sukladno rokovima dospjeća.</w:t>
      </w:r>
    </w:p>
    <w:p w14:paraId="14A101B6" w14:textId="77777777" w:rsidR="00633DD1" w:rsidRDefault="00633DD1"/>
    <w:p w14:paraId="7FCB5098" w14:textId="77777777" w:rsidR="00633DD1" w:rsidRDefault="00000000">
      <w:pPr>
        <w:keepNext/>
        <w:spacing w:line="240" w:lineRule="auto"/>
        <w:jc w:val="center"/>
      </w:pPr>
      <w:r>
        <w:rPr>
          <w:sz w:val="28"/>
        </w:rPr>
        <w:lastRenderedPageBreak/>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553DABD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DFE13D"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8D0AB1D"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415C17"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76AF0D"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A26779D"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0C79F79" w14:textId="77777777" w:rsidR="00633DD1" w:rsidRDefault="00000000">
            <w:pPr>
              <w:keepNext/>
              <w:keepLines/>
              <w:spacing w:after="0" w:line="240" w:lineRule="auto"/>
              <w:jc w:val="center"/>
            </w:pPr>
            <w:r>
              <w:rPr>
                <w:b/>
                <w:sz w:val="18"/>
              </w:rPr>
              <w:t>Indeks (%)</w:t>
            </w:r>
          </w:p>
        </w:tc>
      </w:tr>
      <w:tr w:rsidR="00633DD1" w14:paraId="4963E298" w14:textId="77777777">
        <w:tblPrEx>
          <w:tblCellMar>
            <w:top w:w="0" w:type="dxa"/>
            <w:bottom w:w="0" w:type="dxa"/>
          </w:tblCellMar>
        </w:tblPrEx>
        <w:trPr>
          <w:cantSplit/>
          <w:trHeight w:val="560"/>
        </w:trPr>
        <w:tc>
          <w:tcPr>
            <w:tcW w:w="700" w:type="dxa"/>
            <w:tcMar>
              <w:top w:w="0" w:type="dxa"/>
              <w:bottom w:w="0" w:type="dxa"/>
            </w:tcMar>
            <w:vAlign w:val="center"/>
          </w:tcPr>
          <w:p w14:paraId="39F62A80" w14:textId="77777777" w:rsidR="00633DD1" w:rsidRDefault="00000000">
            <w:pPr>
              <w:keepNext/>
              <w:keepLines/>
              <w:spacing w:after="0" w:line="240" w:lineRule="auto"/>
            </w:pPr>
            <w:r>
              <w:rPr>
                <w:sz w:val="18"/>
              </w:rPr>
              <w:t>96</w:t>
            </w:r>
          </w:p>
        </w:tc>
        <w:tc>
          <w:tcPr>
            <w:tcW w:w="3180" w:type="dxa"/>
            <w:tcMar>
              <w:top w:w="0" w:type="dxa"/>
              <w:bottom w:w="0" w:type="dxa"/>
            </w:tcMar>
            <w:vAlign w:val="center"/>
          </w:tcPr>
          <w:p w14:paraId="33C950B6" w14:textId="77777777" w:rsidR="00633DD1"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4D2A1249" w14:textId="77777777" w:rsidR="00633DD1" w:rsidRDefault="00000000">
            <w:pPr>
              <w:keepNext/>
              <w:keepLines/>
              <w:spacing w:after="0" w:line="240" w:lineRule="auto"/>
            </w:pPr>
            <w:r>
              <w:rPr>
                <w:sz w:val="18"/>
              </w:rPr>
              <w:t>96</w:t>
            </w:r>
          </w:p>
        </w:tc>
        <w:tc>
          <w:tcPr>
            <w:tcW w:w="1860" w:type="dxa"/>
            <w:tcMar>
              <w:top w:w="0" w:type="dxa"/>
              <w:bottom w:w="0" w:type="dxa"/>
            </w:tcMar>
            <w:vAlign w:val="center"/>
          </w:tcPr>
          <w:p w14:paraId="620C4EE3" w14:textId="77777777" w:rsidR="00633DD1" w:rsidRDefault="00000000">
            <w:pPr>
              <w:keepNext/>
              <w:keepLines/>
              <w:spacing w:after="0" w:line="240" w:lineRule="auto"/>
              <w:jc w:val="right"/>
            </w:pPr>
            <w:r>
              <w:rPr>
                <w:sz w:val="18"/>
              </w:rPr>
              <w:t>12.815,30</w:t>
            </w:r>
          </w:p>
        </w:tc>
        <w:tc>
          <w:tcPr>
            <w:tcW w:w="1860" w:type="dxa"/>
            <w:tcMar>
              <w:top w:w="0" w:type="dxa"/>
              <w:bottom w:w="0" w:type="dxa"/>
            </w:tcMar>
            <w:vAlign w:val="center"/>
          </w:tcPr>
          <w:p w14:paraId="0D3B488A" w14:textId="77777777" w:rsidR="00633DD1" w:rsidRDefault="00000000">
            <w:pPr>
              <w:keepNext/>
              <w:keepLines/>
              <w:spacing w:after="0" w:line="240" w:lineRule="auto"/>
              <w:jc w:val="right"/>
            </w:pPr>
            <w:r>
              <w:rPr>
                <w:sz w:val="18"/>
              </w:rPr>
              <w:t>89.955,04</w:t>
            </w:r>
          </w:p>
        </w:tc>
        <w:tc>
          <w:tcPr>
            <w:tcW w:w="700" w:type="dxa"/>
            <w:tcMar>
              <w:top w:w="0" w:type="dxa"/>
              <w:bottom w:w="0" w:type="dxa"/>
            </w:tcMar>
            <w:vAlign w:val="center"/>
          </w:tcPr>
          <w:p w14:paraId="365A8317" w14:textId="77777777" w:rsidR="00633DD1" w:rsidRDefault="00000000">
            <w:pPr>
              <w:keepNext/>
              <w:keepLines/>
              <w:spacing w:after="0" w:line="240" w:lineRule="auto"/>
              <w:jc w:val="right"/>
            </w:pPr>
            <w:r>
              <w:rPr>
                <w:sz w:val="18"/>
              </w:rPr>
              <w:t>701,9</w:t>
            </w:r>
          </w:p>
        </w:tc>
      </w:tr>
    </w:tbl>
    <w:p w14:paraId="17F8C7E0" w14:textId="77777777" w:rsidR="00633DD1" w:rsidRDefault="00633DD1">
      <w:pPr>
        <w:spacing w:after="0"/>
      </w:pPr>
    </w:p>
    <w:p w14:paraId="3E188A02" w14:textId="77777777" w:rsidR="00633DD1" w:rsidRDefault="00000000">
      <w:r>
        <w:t>Obračunati prihodi poslovanja su u značajnom porastu radi potraživanja za projekt Brižne ruke podravske te šumski doprinos.</w:t>
      </w:r>
    </w:p>
    <w:p w14:paraId="4E7339F4" w14:textId="77777777" w:rsidR="00633DD1" w:rsidRDefault="00633DD1"/>
    <w:p w14:paraId="35832D91" w14:textId="77777777" w:rsidR="00633DD1"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2B21F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77EB0C"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80D6E6"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C0D71F"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09A87D"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91905C"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15C082B" w14:textId="77777777" w:rsidR="00633DD1" w:rsidRDefault="00000000">
            <w:pPr>
              <w:keepNext/>
              <w:keepLines/>
              <w:spacing w:after="0" w:line="240" w:lineRule="auto"/>
              <w:jc w:val="center"/>
            </w:pPr>
            <w:r>
              <w:rPr>
                <w:b/>
                <w:sz w:val="18"/>
              </w:rPr>
              <w:t>Indeks (%)</w:t>
            </w:r>
          </w:p>
        </w:tc>
      </w:tr>
      <w:tr w:rsidR="00633DD1" w14:paraId="6768EC5E" w14:textId="77777777">
        <w:tblPrEx>
          <w:tblCellMar>
            <w:top w:w="0" w:type="dxa"/>
            <w:bottom w:w="0" w:type="dxa"/>
          </w:tblCellMar>
        </w:tblPrEx>
        <w:trPr>
          <w:cantSplit/>
          <w:trHeight w:val="560"/>
        </w:trPr>
        <w:tc>
          <w:tcPr>
            <w:tcW w:w="700" w:type="dxa"/>
            <w:tcMar>
              <w:top w:w="0" w:type="dxa"/>
              <w:bottom w:w="0" w:type="dxa"/>
            </w:tcMar>
            <w:vAlign w:val="center"/>
          </w:tcPr>
          <w:p w14:paraId="765F2AB6" w14:textId="77777777" w:rsidR="00633DD1" w:rsidRDefault="00000000">
            <w:pPr>
              <w:keepNext/>
              <w:keepLines/>
              <w:spacing w:after="0" w:line="240" w:lineRule="auto"/>
            </w:pPr>
            <w:r>
              <w:rPr>
                <w:sz w:val="18"/>
              </w:rPr>
              <w:t>991</w:t>
            </w:r>
          </w:p>
        </w:tc>
        <w:tc>
          <w:tcPr>
            <w:tcW w:w="3180" w:type="dxa"/>
            <w:tcMar>
              <w:top w:w="0" w:type="dxa"/>
              <w:bottom w:w="0" w:type="dxa"/>
            </w:tcMar>
            <w:vAlign w:val="center"/>
          </w:tcPr>
          <w:p w14:paraId="3BF69043" w14:textId="77777777" w:rsidR="00633DD1" w:rsidRDefault="00000000">
            <w:pPr>
              <w:keepNext/>
              <w:keepLines/>
              <w:spacing w:after="0" w:line="240" w:lineRule="auto"/>
            </w:pPr>
            <w:r>
              <w:rPr>
                <w:sz w:val="18"/>
              </w:rPr>
              <w:t>Izvanbilančni zapisi - aktiva (šifra 996)</w:t>
            </w:r>
          </w:p>
        </w:tc>
        <w:tc>
          <w:tcPr>
            <w:tcW w:w="700" w:type="dxa"/>
            <w:tcMar>
              <w:top w:w="0" w:type="dxa"/>
              <w:bottom w:w="0" w:type="dxa"/>
            </w:tcMar>
            <w:vAlign w:val="center"/>
          </w:tcPr>
          <w:p w14:paraId="7D0935D3" w14:textId="77777777" w:rsidR="00633DD1" w:rsidRDefault="00000000">
            <w:pPr>
              <w:keepNext/>
              <w:keepLines/>
              <w:spacing w:after="0" w:line="240" w:lineRule="auto"/>
            </w:pPr>
            <w:r>
              <w:rPr>
                <w:sz w:val="18"/>
              </w:rPr>
              <w:t>991</w:t>
            </w:r>
          </w:p>
        </w:tc>
        <w:tc>
          <w:tcPr>
            <w:tcW w:w="1860" w:type="dxa"/>
            <w:tcMar>
              <w:top w:w="0" w:type="dxa"/>
              <w:bottom w:w="0" w:type="dxa"/>
            </w:tcMar>
            <w:vAlign w:val="center"/>
          </w:tcPr>
          <w:p w14:paraId="6562D789" w14:textId="77777777" w:rsidR="00633DD1" w:rsidRDefault="00000000">
            <w:pPr>
              <w:keepNext/>
              <w:keepLines/>
              <w:spacing w:after="0" w:line="240" w:lineRule="auto"/>
              <w:jc w:val="right"/>
            </w:pPr>
            <w:r>
              <w:rPr>
                <w:sz w:val="18"/>
              </w:rPr>
              <w:t>478.963,11</w:t>
            </w:r>
          </w:p>
        </w:tc>
        <w:tc>
          <w:tcPr>
            <w:tcW w:w="1860" w:type="dxa"/>
            <w:tcMar>
              <w:top w:w="0" w:type="dxa"/>
              <w:bottom w:w="0" w:type="dxa"/>
            </w:tcMar>
            <w:vAlign w:val="center"/>
          </w:tcPr>
          <w:p w14:paraId="1BF39497" w14:textId="77777777" w:rsidR="00633DD1" w:rsidRDefault="00000000">
            <w:pPr>
              <w:keepNext/>
              <w:keepLines/>
              <w:spacing w:after="0" w:line="240" w:lineRule="auto"/>
              <w:jc w:val="right"/>
            </w:pPr>
            <w:r>
              <w:rPr>
                <w:sz w:val="18"/>
              </w:rPr>
              <w:t>664.601,71</w:t>
            </w:r>
          </w:p>
        </w:tc>
        <w:tc>
          <w:tcPr>
            <w:tcW w:w="700" w:type="dxa"/>
            <w:tcMar>
              <w:top w:w="0" w:type="dxa"/>
              <w:bottom w:w="0" w:type="dxa"/>
            </w:tcMar>
            <w:vAlign w:val="center"/>
          </w:tcPr>
          <w:p w14:paraId="6A9814F5" w14:textId="77777777" w:rsidR="00633DD1" w:rsidRDefault="00000000">
            <w:pPr>
              <w:keepNext/>
              <w:keepLines/>
              <w:spacing w:after="0" w:line="240" w:lineRule="auto"/>
              <w:jc w:val="right"/>
            </w:pPr>
            <w:r>
              <w:rPr>
                <w:sz w:val="18"/>
              </w:rPr>
              <w:t>138,8</w:t>
            </w:r>
          </w:p>
        </w:tc>
      </w:tr>
    </w:tbl>
    <w:p w14:paraId="3F40CB88" w14:textId="77777777" w:rsidR="00633DD1" w:rsidRDefault="00633DD1">
      <w:pPr>
        <w:spacing w:after="0"/>
      </w:pPr>
    </w:p>
    <w:p w14:paraId="33CD0423" w14:textId="77777777" w:rsidR="00633DD1" w:rsidRDefault="00000000">
      <w:r>
        <w:t>Izvanbilančni zapisi se odnose instrumente osiguranja</w:t>
      </w:r>
    </w:p>
    <w:p w14:paraId="5B24837C" w14:textId="77777777" w:rsidR="00633DD1" w:rsidRDefault="00633DD1"/>
    <w:p w14:paraId="22D524E9" w14:textId="77777777" w:rsidR="00633DD1"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22145C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F5B198"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AB01D7"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264FB"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98BCC9"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58F4F6C"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5E6CB5C" w14:textId="77777777" w:rsidR="00633DD1" w:rsidRDefault="00000000">
            <w:pPr>
              <w:keepNext/>
              <w:keepLines/>
              <w:spacing w:after="0" w:line="240" w:lineRule="auto"/>
              <w:jc w:val="center"/>
            </w:pPr>
            <w:r>
              <w:rPr>
                <w:b/>
                <w:sz w:val="18"/>
              </w:rPr>
              <w:t>Indeks (%)</w:t>
            </w:r>
          </w:p>
        </w:tc>
      </w:tr>
      <w:tr w:rsidR="00633DD1" w14:paraId="00FD6162" w14:textId="77777777">
        <w:tblPrEx>
          <w:tblCellMar>
            <w:top w:w="0" w:type="dxa"/>
            <w:bottom w:w="0" w:type="dxa"/>
          </w:tblCellMar>
        </w:tblPrEx>
        <w:trPr>
          <w:cantSplit/>
          <w:trHeight w:val="560"/>
        </w:trPr>
        <w:tc>
          <w:tcPr>
            <w:tcW w:w="700" w:type="dxa"/>
            <w:tcMar>
              <w:top w:w="0" w:type="dxa"/>
              <w:bottom w:w="0" w:type="dxa"/>
            </w:tcMar>
            <w:vAlign w:val="center"/>
          </w:tcPr>
          <w:p w14:paraId="0221A07E" w14:textId="77777777" w:rsidR="00633DD1" w:rsidRDefault="00000000">
            <w:pPr>
              <w:keepNext/>
              <w:keepLines/>
              <w:spacing w:after="0" w:line="240" w:lineRule="auto"/>
            </w:pPr>
            <w:r>
              <w:rPr>
                <w:sz w:val="18"/>
              </w:rPr>
              <w:t>27311</w:t>
            </w:r>
          </w:p>
        </w:tc>
        <w:tc>
          <w:tcPr>
            <w:tcW w:w="3180" w:type="dxa"/>
            <w:tcMar>
              <w:top w:w="0" w:type="dxa"/>
              <w:bottom w:w="0" w:type="dxa"/>
            </w:tcMar>
            <w:vAlign w:val="center"/>
          </w:tcPr>
          <w:p w14:paraId="5F16A956" w14:textId="77777777" w:rsidR="00633DD1" w:rsidRDefault="00000000">
            <w:pPr>
              <w:keepNext/>
              <w:keepLines/>
              <w:spacing w:after="0" w:line="240" w:lineRule="auto"/>
            </w:pPr>
            <w:r>
              <w:rPr>
                <w:sz w:val="18"/>
              </w:rPr>
              <w:t>Obveze za naplaćene tuđe prihode</w:t>
            </w:r>
          </w:p>
        </w:tc>
        <w:tc>
          <w:tcPr>
            <w:tcW w:w="700" w:type="dxa"/>
            <w:tcMar>
              <w:top w:w="0" w:type="dxa"/>
              <w:bottom w:w="0" w:type="dxa"/>
            </w:tcMar>
            <w:vAlign w:val="center"/>
          </w:tcPr>
          <w:p w14:paraId="036B1E7E" w14:textId="77777777" w:rsidR="00633DD1" w:rsidRDefault="00000000">
            <w:pPr>
              <w:keepNext/>
              <w:keepLines/>
              <w:spacing w:after="0" w:line="240" w:lineRule="auto"/>
            </w:pPr>
            <w:r>
              <w:rPr>
                <w:sz w:val="18"/>
              </w:rPr>
              <w:t>27311</w:t>
            </w:r>
          </w:p>
        </w:tc>
        <w:tc>
          <w:tcPr>
            <w:tcW w:w="1860" w:type="dxa"/>
            <w:tcMar>
              <w:top w:w="0" w:type="dxa"/>
              <w:bottom w:w="0" w:type="dxa"/>
            </w:tcMar>
            <w:vAlign w:val="center"/>
          </w:tcPr>
          <w:p w14:paraId="3F7D6E83" w14:textId="77777777" w:rsidR="00633DD1" w:rsidRDefault="00000000">
            <w:pPr>
              <w:keepNext/>
              <w:keepLines/>
              <w:spacing w:after="0" w:line="240" w:lineRule="auto"/>
              <w:jc w:val="right"/>
            </w:pPr>
            <w:r>
              <w:rPr>
                <w:sz w:val="18"/>
              </w:rPr>
              <w:t>0,00</w:t>
            </w:r>
          </w:p>
        </w:tc>
        <w:tc>
          <w:tcPr>
            <w:tcW w:w="1860" w:type="dxa"/>
            <w:tcMar>
              <w:top w:w="0" w:type="dxa"/>
              <w:bottom w:w="0" w:type="dxa"/>
            </w:tcMar>
            <w:vAlign w:val="center"/>
          </w:tcPr>
          <w:p w14:paraId="4A056DE8" w14:textId="77777777" w:rsidR="00633DD1" w:rsidRDefault="00000000">
            <w:pPr>
              <w:keepNext/>
              <w:keepLines/>
              <w:spacing w:after="0" w:line="240" w:lineRule="auto"/>
              <w:jc w:val="right"/>
            </w:pPr>
            <w:r>
              <w:rPr>
                <w:sz w:val="18"/>
              </w:rPr>
              <w:t>2.240,00</w:t>
            </w:r>
          </w:p>
        </w:tc>
        <w:tc>
          <w:tcPr>
            <w:tcW w:w="700" w:type="dxa"/>
            <w:tcMar>
              <w:top w:w="0" w:type="dxa"/>
              <w:bottom w:w="0" w:type="dxa"/>
            </w:tcMar>
            <w:vAlign w:val="center"/>
          </w:tcPr>
          <w:p w14:paraId="4D5640B6" w14:textId="77777777" w:rsidR="00633DD1" w:rsidRDefault="00000000">
            <w:pPr>
              <w:keepNext/>
              <w:keepLines/>
              <w:spacing w:after="0" w:line="240" w:lineRule="auto"/>
              <w:jc w:val="right"/>
            </w:pPr>
            <w:r>
              <w:rPr>
                <w:sz w:val="18"/>
              </w:rPr>
              <w:t>-</w:t>
            </w:r>
          </w:p>
        </w:tc>
      </w:tr>
    </w:tbl>
    <w:p w14:paraId="138DA939" w14:textId="77777777" w:rsidR="00633DD1" w:rsidRDefault="00633DD1">
      <w:pPr>
        <w:spacing w:after="0"/>
      </w:pPr>
    </w:p>
    <w:p w14:paraId="3CA1A129" w14:textId="77777777" w:rsidR="00633DD1" w:rsidRDefault="00000000">
      <w:r>
        <w:t>Obveze za naplaćene tuđe prihode se odnosi na potporu mladima za stambeno zbrinjavanje uplaćenu od strane Državnog proračuna koja će korisnuku biti proslijeđena iduće godine.</w:t>
      </w:r>
    </w:p>
    <w:p w14:paraId="1FB082BE" w14:textId="77777777" w:rsidR="00633DD1" w:rsidRDefault="00633DD1"/>
    <w:p w14:paraId="519470EA" w14:textId="77777777" w:rsidR="00633DD1"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5840FA3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BC9C32"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CC1062D"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16C849"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E6D7E"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98B2D80"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5D6037" w14:textId="77777777" w:rsidR="00633DD1" w:rsidRDefault="00000000">
            <w:pPr>
              <w:keepNext/>
              <w:keepLines/>
              <w:spacing w:after="0" w:line="240" w:lineRule="auto"/>
              <w:jc w:val="center"/>
            </w:pPr>
            <w:r>
              <w:rPr>
                <w:b/>
                <w:sz w:val="18"/>
              </w:rPr>
              <w:t>Indeks (%)</w:t>
            </w:r>
          </w:p>
        </w:tc>
      </w:tr>
      <w:tr w:rsidR="00633DD1" w14:paraId="10B3ED2D" w14:textId="77777777">
        <w:tblPrEx>
          <w:tblCellMar>
            <w:top w:w="0" w:type="dxa"/>
            <w:bottom w:w="0" w:type="dxa"/>
          </w:tblCellMar>
        </w:tblPrEx>
        <w:trPr>
          <w:cantSplit/>
          <w:trHeight w:val="560"/>
        </w:trPr>
        <w:tc>
          <w:tcPr>
            <w:tcW w:w="700" w:type="dxa"/>
            <w:tcMar>
              <w:top w:w="0" w:type="dxa"/>
              <w:bottom w:w="0" w:type="dxa"/>
            </w:tcMar>
            <w:vAlign w:val="center"/>
          </w:tcPr>
          <w:p w14:paraId="4FCC00D2" w14:textId="77777777" w:rsidR="00633DD1" w:rsidRDefault="00000000">
            <w:pPr>
              <w:keepNext/>
              <w:keepLines/>
              <w:spacing w:after="0" w:line="240" w:lineRule="auto"/>
            </w:pPr>
            <w:r>
              <w:rPr>
                <w:sz w:val="18"/>
              </w:rPr>
              <w:t>92214</w:t>
            </w:r>
          </w:p>
        </w:tc>
        <w:tc>
          <w:tcPr>
            <w:tcW w:w="3180" w:type="dxa"/>
            <w:tcMar>
              <w:top w:w="0" w:type="dxa"/>
              <w:bottom w:w="0" w:type="dxa"/>
            </w:tcMar>
            <w:vAlign w:val="center"/>
          </w:tcPr>
          <w:p w14:paraId="60486742" w14:textId="77777777" w:rsidR="00633DD1" w:rsidRDefault="00000000">
            <w:pPr>
              <w:keepNext/>
              <w:keepLines/>
              <w:spacing w:after="0" w:line="240" w:lineRule="auto"/>
            </w:pPr>
            <w:r>
              <w:rPr>
                <w:sz w:val="18"/>
              </w:rPr>
              <w:t>Višak prihoda poslovanja - ispravci iz prethodnih razdoblja</w:t>
            </w:r>
          </w:p>
        </w:tc>
        <w:tc>
          <w:tcPr>
            <w:tcW w:w="700" w:type="dxa"/>
            <w:tcMar>
              <w:top w:w="0" w:type="dxa"/>
              <w:bottom w:w="0" w:type="dxa"/>
            </w:tcMar>
            <w:vAlign w:val="center"/>
          </w:tcPr>
          <w:p w14:paraId="54AE2930" w14:textId="77777777" w:rsidR="00633DD1" w:rsidRDefault="00000000">
            <w:pPr>
              <w:keepNext/>
              <w:keepLines/>
              <w:spacing w:after="0" w:line="240" w:lineRule="auto"/>
            </w:pPr>
            <w:r>
              <w:rPr>
                <w:sz w:val="18"/>
              </w:rPr>
              <w:t>92214</w:t>
            </w:r>
          </w:p>
        </w:tc>
        <w:tc>
          <w:tcPr>
            <w:tcW w:w="1860" w:type="dxa"/>
            <w:tcMar>
              <w:top w:w="0" w:type="dxa"/>
              <w:bottom w:w="0" w:type="dxa"/>
            </w:tcMar>
            <w:vAlign w:val="center"/>
          </w:tcPr>
          <w:p w14:paraId="386F0AF4" w14:textId="77777777" w:rsidR="00633DD1" w:rsidRDefault="00000000">
            <w:pPr>
              <w:keepNext/>
              <w:keepLines/>
              <w:spacing w:after="0" w:line="240" w:lineRule="auto"/>
              <w:jc w:val="right"/>
            </w:pPr>
            <w:r>
              <w:rPr>
                <w:sz w:val="18"/>
              </w:rPr>
              <w:t>0,00</w:t>
            </w:r>
          </w:p>
        </w:tc>
        <w:tc>
          <w:tcPr>
            <w:tcW w:w="1860" w:type="dxa"/>
            <w:tcMar>
              <w:top w:w="0" w:type="dxa"/>
              <w:bottom w:w="0" w:type="dxa"/>
            </w:tcMar>
            <w:vAlign w:val="center"/>
          </w:tcPr>
          <w:p w14:paraId="1703F76D" w14:textId="77777777" w:rsidR="00633DD1" w:rsidRDefault="00000000">
            <w:pPr>
              <w:keepNext/>
              <w:keepLines/>
              <w:spacing w:after="0" w:line="240" w:lineRule="auto"/>
              <w:jc w:val="right"/>
            </w:pPr>
            <w:r>
              <w:rPr>
                <w:sz w:val="18"/>
              </w:rPr>
              <w:t>1.961,22</w:t>
            </w:r>
          </w:p>
        </w:tc>
        <w:tc>
          <w:tcPr>
            <w:tcW w:w="700" w:type="dxa"/>
            <w:tcMar>
              <w:top w:w="0" w:type="dxa"/>
              <w:bottom w:w="0" w:type="dxa"/>
            </w:tcMar>
            <w:vAlign w:val="center"/>
          </w:tcPr>
          <w:p w14:paraId="0E37E0B3" w14:textId="77777777" w:rsidR="00633DD1" w:rsidRDefault="00000000">
            <w:pPr>
              <w:keepNext/>
              <w:keepLines/>
              <w:spacing w:after="0" w:line="240" w:lineRule="auto"/>
              <w:jc w:val="right"/>
            </w:pPr>
            <w:r>
              <w:rPr>
                <w:sz w:val="18"/>
              </w:rPr>
              <w:t>-</w:t>
            </w:r>
          </w:p>
        </w:tc>
      </w:tr>
    </w:tbl>
    <w:p w14:paraId="619E8906" w14:textId="77777777" w:rsidR="00633DD1" w:rsidRDefault="00633DD1">
      <w:pPr>
        <w:spacing w:after="0"/>
      </w:pPr>
    </w:p>
    <w:p w14:paraId="19FB956E" w14:textId="77777777" w:rsidR="00633DD1" w:rsidRDefault="00000000">
      <w:r>
        <w:t>Uskladom stanja bilančne ravnoteže uočene su pogreške knjigovodstvenog evidentiranja u prethodnim godinama  koje su dovele do viška prihoda poslovanja.</w:t>
      </w:r>
    </w:p>
    <w:p w14:paraId="63A0662A" w14:textId="77777777" w:rsidR="00633DD1" w:rsidRDefault="00633DD1"/>
    <w:p w14:paraId="1B7C44DB" w14:textId="77777777" w:rsidR="00633DD1" w:rsidRDefault="00000000">
      <w:pPr>
        <w:keepNext/>
        <w:spacing w:line="240" w:lineRule="auto"/>
        <w:jc w:val="center"/>
      </w:pPr>
      <w:r>
        <w:rPr>
          <w:sz w:val="28"/>
        </w:rPr>
        <w:lastRenderedPageBreak/>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79EB0C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6A591B"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FE92897"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C70325"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D0778F" w14:textId="77777777" w:rsidR="00633DD1"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878FFA" w14:textId="77777777" w:rsidR="00633DD1"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EAB3A5F" w14:textId="77777777" w:rsidR="00633DD1" w:rsidRDefault="00000000">
            <w:pPr>
              <w:keepNext/>
              <w:keepLines/>
              <w:spacing w:after="0" w:line="240" w:lineRule="auto"/>
              <w:jc w:val="center"/>
            </w:pPr>
            <w:r>
              <w:rPr>
                <w:b/>
                <w:sz w:val="18"/>
              </w:rPr>
              <w:t>Indeks (%)</w:t>
            </w:r>
          </w:p>
        </w:tc>
      </w:tr>
      <w:tr w:rsidR="00633DD1" w14:paraId="40FEDDAF" w14:textId="77777777">
        <w:tblPrEx>
          <w:tblCellMar>
            <w:top w:w="0" w:type="dxa"/>
            <w:bottom w:w="0" w:type="dxa"/>
          </w:tblCellMar>
        </w:tblPrEx>
        <w:trPr>
          <w:cantSplit/>
          <w:trHeight w:val="560"/>
        </w:trPr>
        <w:tc>
          <w:tcPr>
            <w:tcW w:w="700" w:type="dxa"/>
            <w:tcMar>
              <w:top w:w="0" w:type="dxa"/>
              <w:bottom w:w="0" w:type="dxa"/>
            </w:tcMar>
            <w:vAlign w:val="center"/>
          </w:tcPr>
          <w:p w14:paraId="493C271F" w14:textId="77777777" w:rsidR="00633DD1" w:rsidRDefault="00000000">
            <w:pPr>
              <w:keepNext/>
              <w:keepLines/>
              <w:spacing w:after="0" w:line="240" w:lineRule="auto"/>
            </w:pPr>
            <w:r>
              <w:rPr>
                <w:sz w:val="18"/>
              </w:rPr>
              <w:t>99641</w:t>
            </w:r>
          </w:p>
        </w:tc>
        <w:tc>
          <w:tcPr>
            <w:tcW w:w="3180" w:type="dxa"/>
            <w:tcMar>
              <w:top w:w="0" w:type="dxa"/>
              <w:bottom w:w="0" w:type="dxa"/>
            </w:tcMar>
            <w:vAlign w:val="center"/>
          </w:tcPr>
          <w:p w14:paraId="23B5BCD6" w14:textId="77777777" w:rsidR="00633DD1"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0E1A18CA" w14:textId="77777777" w:rsidR="00633DD1" w:rsidRDefault="00000000">
            <w:pPr>
              <w:keepNext/>
              <w:keepLines/>
              <w:spacing w:after="0" w:line="240" w:lineRule="auto"/>
            </w:pPr>
            <w:r>
              <w:rPr>
                <w:sz w:val="18"/>
              </w:rPr>
              <w:t>99641</w:t>
            </w:r>
          </w:p>
        </w:tc>
        <w:tc>
          <w:tcPr>
            <w:tcW w:w="1860" w:type="dxa"/>
            <w:tcMar>
              <w:top w:w="0" w:type="dxa"/>
              <w:bottom w:w="0" w:type="dxa"/>
            </w:tcMar>
            <w:vAlign w:val="center"/>
          </w:tcPr>
          <w:p w14:paraId="1A35B5F5" w14:textId="77777777" w:rsidR="00633DD1" w:rsidRDefault="00000000">
            <w:pPr>
              <w:keepNext/>
              <w:keepLines/>
              <w:spacing w:after="0" w:line="240" w:lineRule="auto"/>
              <w:jc w:val="right"/>
            </w:pPr>
            <w:r>
              <w:rPr>
                <w:sz w:val="18"/>
              </w:rPr>
              <w:t>478.963,11</w:t>
            </w:r>
          </w:p>
        </w:tc>
        <w:tc>
          <w:tcPr>
            <w:tcW w:w="1860" w:type="dxa"/>
            <w:tcMar>
              <w:top w:w="0" w:type="dxa"/>
              <w:bottom w:w="0" w:type="dxa"/>
            </w:tcMar>
            <w:vAlign w:val="center"/>
          </w:tcPr>
          <w:p w14:paraId="199230CD" w14:textId="77777777" w:rsidR="00633DD1" w:rsidRDefault="00000000">
            <w:pPr>
              <w:keepNext/>
              <w:keepLines/>
              <w:spacing w:after="0" w:line="240" w:lineRule="auto"/>
              <w:jc w:val="right"/>
            </w:pPr>
            <w:r>
              <w:rPr>
                <w:sz w:val="18"/>
              </w:rPr>
              <w:t>664.601,71</w:t>
            </w:r>
          </w:p>
        </w:tc>
        <w:tc>
          <w:tcPr>
            <w:tcW w:w="700" w:type="dxa"/>
            <w:tcMar>
              <w:top w:w="0" w:type="dxa"/>
              <w:bottom w:w="0" w:type="dxa"/>
            </w:tcMar>
            <w:vAlign w:val="center"/>
          </w:tcPr>
          <w:p w14:paraId="1866F62D" w14:textId="77777777" w:rsidR="00633DD1" w:rsidRDefault="00000000">
            <w:pPr>
              <w:keepNext/>
              <w:keepLines/>
              <w:spacing w:after="0" w:line="240" w:lineRule="auto"/>
              <w:jc w:val="right"/>
            </w:pPr>
            <w:r>
              <w:rPr>
                <w:sz w:val="18"/>
              </w:rPr>
              <w:t>138,8</w:t>
            </w:r>
          </w:p>
        </w:tc>
      </w:tr>
    </w:tbl>
    <w:p w14:paraId="0C8B6B67" w14:textId="77777777" w:rsidR="00633DD1" w:rsidRDefault="00633DD1">
      <w:pPr>
        <w:spacing w:after="0"/>
      </w:pPr>
    </w:p>
    <w:p w14:paraId="5BA40650" w14:textId="77777777" w:rsidR="00633DD1" w:rsidRDefault="00000000">
      <w:r>
        <w:t>Tijekom godine primljena su jamstva od mladih obitelji kojima su isplaćena financijska sredstva za kupnju i adaptaciju stambenog objekta te  od pravnih osoba kao jamstvo za uredno izvršenje ugovora ili jamstvo za otklanjanje nedostataka.</w:t>
      </w:r>
    </w:p>
    <w:p w14:paraId="3E93183C" w14:textId="77777777" w:rsidR="00633DD1" w:rsidRDefault="00000000">
      <w:r>
        <w:t>Tijekom godine izdano je instrumenata osiguranja u vrijednosti 150.000,00 eura Ministarstvu regionalnog razvoja i fondova Europske unije te Ministarstvu demografije i useljeništva.</w:t>
      </w:r>
    </w:p>
    <w:p w14:paraId="2C15823A" w14:textId="77777777" w:rsidR="00633DD1" w:rsidRDefault="00000000">
      <w:r>
        <w:t> </w:t>
      </w:r>
    </w:p>
    <w:p w14:paraId="5031A909" w14:textId="77777777" w:rsidR="00633DD1" w:rsidRDefault="00633DD1"/>
    <w:p w14:paraId="1C2EA06E" w14:textId="77777777" w:rsidR="00633DD1" w:rsidRDefault="00000000">
      <w:pPr>
        <w:keepNext/>
        <w:spacing w:line="240" w:lineRule="auto"/>
        <w:jc w:val="center"/>
      </w:pPr>
      <w:r>
        <w:rPr>
          <w:b/>
          <w:sz w:val="28"/>
        </w:rPr>
        <w:t>Izvještaj o rashodima prema funkcijskoj klasifikaciji</w:t>
      </w:r>
    </w:p>
    <w:p w14:paraId="43CD4D7D" w14:textId="77777777" w:rsidR="00633DD1"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33DD1" w14:paraId="3BFA1B7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2290B9"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716DAA7"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F2383"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92598B" w14:textId="77777777" w:rsidR="00633DD1"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81F432" w14:textId="77777777" w:rsidR="00633DD1"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2260A" w14:textId="77777777" w:rsidR="00633DD1" w:rsidRDefault="00000000">
            <w:pPr>
              <w:keepNext/>
              <w:keepLines/>
              <w:spacing w:after="0" w:line="240" w:lineRule="auto"/>
              <w:jc w:val="center"/>
            </w:pPr>
            <w:r>
              <w:rPr>
                <w:b/>
                <w:sz w:val="18"/>
              </w:rPr>
              <w:t>Indeks (%)</w:t>
            </w:r>
          </w:p>
        </w:tc>
      </w:tr>
      <w:tr w:rsidR="00633DD1" w14:paraId="4A902BE4" w14:textId="77777777">
        <w:tblPrEx>
          <w:tblCellMar>
            <w:top w:w="0" w:type="dxa"/>
            <w:bottom w:w="0" w:type="dxa"/>
          </w:tblCellMar>
        </w:tblPrEx>
        <w:trPr>
          <w:cantSplit/>
          <w:trHeight w:val="560"/>
        </w:trPr>
        <w:tc>
          <w:tcPr>
            <w:tcW w:w="700" w:type="dxa"/>
            <w:tcMar>
              <w:top w:w="0" w:type="dxa"/>
              <w:bottom w:w="0" w:type="dxa"/>
            </w:tcMar>
            <w:vAlign w:val="center"/>
          </w:tcPr>
          <w:p w14:paraId="04FD3353" w14:textId="77777777" w:rsidR="00633DD1" w:rsidRDefault="00633DD1">
            <w:pPr>
              <w:keepNext/>
              <w:keepLines/>
              <w:spacing w:after="0" w:line="240" w:lineRule="auto"/>
            </w:pPr>
          </w:p>
        </w:tc>
        <w:tc>
          <w:tcPr>
            <w:tcW w:w="3180" w:type="dxa"/>
            <w:tcMar>
              <w:top w:w="0" w:type="dxa"/>
              <w:bottom w:w="0" w:type="dxa"/>
            </w:tcMar>
            <w:vAlign w:val="center"/>
          </w:tcPr>
          <w:p w14:paraId="00A6B160" w14:textId="77777777" w:rsidR="00633DD1"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15EF6886" w14:textId="77777777" w:rsidR="00633DD1" w:rsidRDefault="00000000">
            <w:pPr>
              <w:keepNext/>
              <w:keepLines/>
              <w:spacing w:after="0" w:line="240" w:lineRule="auto"/>
            </w:pPr>
            <w:r>
              <w:rPr>
                <w:sz w:val="18"/>
              </w:rPr>
              <w:t>R1</w:t>
            </w:r>
          </w:p>
        </w:tc>
        <w:tc>
          <w:tcPr>
            <w:tcW w:w="1860" w:type="dxa"/>
            <w:tcMar>
              <w:top w:w="0" w:type="dxa"/>
              <w:bottom w:w="0" w:type="dxa"/>
            </w:tcMar>
            <w:vAlign w:val="center"/>
          </w:tcPr>
          <w:p w14:paraId="1C899C73" w14:textId="77777777" w:rsidR="00633DD1" w:rsidRDefault="00000000">
            <w:pPr>
              <w:keepNext/>
              <w:keepLines/>
              <w:spacing w:after="0" w:line="240" w:lineRule="auto"/>
              <w:jc w:val="right"/>
            </w:pPr>
            <w:r>
              <w:rPr>
                <w:sz w:val="18"/>
              </w:rPr>
              <w:t>1.237.953,81</w:t>
            </w:r>
          </w:p>
        </w:tc>
        <w:tc>
          <w:tcPr>
            <w:tcW w:w="1860" w:type="dxa"/>
            <w:tcMar>
              <w:top w:w="0" w:type="dxa"/>
              <w:bottom w:w="0" w:type="dxa"/>
            </w:tcMar>
            <w:vAlign w:val="center"/>
          </w:tcPr>
          <w:p w14:paraId="6643967E" w14:textId="77777777" w:rsidR="00633DD1" w:rsidRDefault="00000000">
            <w:pPr>
              <w:keepNext/>
              <w:keepLines/>
              <w:spacing w:after="0" w:line="240" w:lineRule="auto"/>
              <w:jc w:val="right"/>
            </w:pPr>
            <w:r>
              <w:rPr>
                <w:sz w:val="18"/>
              </w:rPr>
              <w:t>1.308.048,79</w:t>
            </w:r>
          </w:p>
        </w:tc>
        <w:tc>
          <w:tcPr>
            <w:tcW w:w="700" w:type="dxa"/>
            <w:tcMar>
              <w:top w:w="0" w:type="dxa"/>
              <w:bottom w:w="0" w:type="dxa"/>
            </w:tcMar>
            <w:vAlign w:val="center"/>
          </w:tcPr>
          <w:p w14:paraId="49F1567F" w14:textId="77777777" w:rsidR="00633DD1" w:rsidRDefault="00000000">
            <w:pPr>
              <w:keepNext/>
              <w:keepLines/>
              <w:spacing w:after="0" w:line="240" w:lineRule="auto"/>
              <w:jc w:val="right"/>
            </w:pPr>
            <w:r>
              <w:rPr>
                <w:sz w:val="18"/>
              </w:rPr>
              <w:t>105,7</w:t>
            </w:r>
          </w:p>
        </w:tc>
      </w:tr>
    </w:tbl>
    <w:p w14:paraId="17F096EF" w14:textId="77777777" w:rsidR="00633DD1" w:rsidRDefault="00633DD1">
      <w:pPr>
        <w:spacing w:after="0"/>
      </w:pPr>
    </w:p>
    <w:p w14:paraId="03DAFEC8" w14:textId="77777777" w:rsidR="00633DD1" w:rsidRDefault="00000000">
      <w:r>
        <w:t>Iz ukupnih rashoda je eliminiran prijenos sredstava proračunskom korisniku dječjem vrtiću Košutica Ferdinandovac u iznosu 269.942,13 €. Rashodi u iznosu 1.308.048,79 € razvrstani su prema funkcijama za koju su utrošeni</w:t>
      </w:r>
    </w:p>
    <w:p w14:paraId="036CFBBA" w14:textId="77777777" w:rsidR="00633DD1" w:rsidRDefault="00633DD1"/>
    <w:p w14:paraId="0701C379" w14:textId="77777777" w:rsidR="00633DD1" w:rsidRDefault="00000000">
      <w:pPr>
        <w:keepNext/>
        <w:spacing w:line="240" w:lineRule="auto"/>
        <w:jc w:val="center"/>
      </w:pPr>
      <w:r>
        <w:rPr>
          <w:b/>
          <w:sz w:val="28"/>
        </w:rPr>
        <w:t>Izvještaj o obvezama</w:t>
      </w:r>
    </w:p>
    <w:p w14:paraId="69B4B592" w14:textId="77777777" w:rsidR="00633DD1"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33DD1" w14:paraId="7C2381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A6A038" w14:textId="77777777" w:rsidR="00633DD1"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5D59B1" w14:textId="77777777" w:rsidR="00633DD1"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468A81" w14:textId="77777777" w:rsidR="00633DD1"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43C6155" w14:textId="77777777" w:rsidR="00633DD1"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B6EFE6D" w14:textId="77777777" w:rsidR="00633DD1" w:rsidRDefault="00000000">
            <w:pPr>
              <w:keepNext/>
              <w:keepLines/>
              <w:spacing w:after="0" w:line="240" w:lineRule="auto"/>
              <w:jc w:val="center"/>
            </w:pPr>
            <w:r>
              <w:rPr>
                <w:b/>
                <w:sz w:val="18"/>
              </w:rPr>
              <w:t>Indeks (%)</w:t>
            </w:r>
          </w:p>
        </w:tc>
      </w:tr>
      <w:tr w:rsidR="00633DD1" w14:paraId="30A56A1A" w14:textId="77777777">
        <w:tblPrEx>
          <w:tblCellMar>
            <w:top w:w="0" w:type="dxa"/>
            <w:bottom w:w="0" w:type="dxa"/>
          </w:tblCellMar>
        </w:tblPrEx>
        <w:trPr>
          <w:cantSplit/>
          <w:trHeight w:val="560"/>
        </w:trPr>
        <w:tc>
          <w:tcPr>
            <w:tcW w:w="700" w:type="dxa"/>
            <w:tcMar>
              <w:top w:w="0" w:type="dxa"/>
              <w:bottom w:w="0" w:type="dxa"/>
            </w:tcMar>
            <w:vAlign w:val="center"/>
          </w:tcPr>
          <w:p w14:paraId="793A45E3" w14:textId="77777777" w:rsidR="00633DD1" w:rsidRDefault="00633DD1">
            <w:pPr>
              <w:keepNext/>
              <w:keepLines/>
              <w:spacing w:after="0" w:line="240" w:lineRule="auto"/>
            </w:pPr>
          </w:p>
        </w:tc>
        <w:tc>
          <w:tcPr>
            <w:tcW w:w="3180" w:type="dxa"/>
            <w:tcMar>
              <w:top w:w="0" w:type="dxa"/>
              <w:bottom w:w="0" w:type="dxa"/>
            </w:tcMar>
            <w:vAlign w:val="center"/>
          </w:tcPr>
          <w:p w14:paraId="4B981BA9" w14:textId="77777777" w:rsidR="00633DD1"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256A0886" w14:textId="77777777" w:rsidR="00633DD1" w:rsidRDefault="00000000">
            <w:pPr>
              <w:keepNext/>
              <w:keepLines/>
              <w:spacing w:after="0" w:line="240" w:lineRule="auto"/>
            </w:pPr>
            <w:r>
              <w:rPr>
                <w:sz w:val="18"/>
              </w:rPr>
              <w:t>V007</w:t>
            </w:r>
          </w:p>
        </w:tc>
        <w:tc>
          <w:tcPr>
            <w:tcW w:w="1860" w:type="dxa"/>
            <w:tcMar>
              <w:top w:w="0" w:type="dxa"/>
              <w:bottom w:w="0" w:type="dxa"/>
            </w:tcMar>
            <w:vAlign w:val="center"/>
          </w:tcPr>
          <w:p w14:paraId="6FD5C642" w14:textId="77777777" w:rsidR="00633DD1" w:rsidRDefault="00000000">
            <w:pPr>
              <w:keepNext/>
              <w:keepLines/>
              <w:spacing w:after="0" w:line="240" w:lineRule="auto"/>
              <w:jc w:val="right"/>
            </w:pPr>
            <w:r>
              <w:rPr>
                <w:sz w:val="18"/>
              </w:rPr>
              <w:t>0,00</w:t>
            </w:r>
          </w:p>
        </w:tc>
        <w:tc>
          <w:tcPr>
            <w:tcW w:w="700" w:type="dxa"/>
            <w:tcMar>
              <w:top w:w="0" w:type="dxa"/>
              <w:bottom w:w="0" w:type="dxa"/>
            </w:tcMar>
            <w:vAlign w:val="center"/>
          </w:tcPr>
          <w:p w14:paraId="7723BA0D" w14:textId="77777777" w:rsidR="00633DD1" w:rsidRDefault="00000000">
            <w:pPr>
              <w:keepNext/>
              <w:keepLines/>
              <w:spacing w:after="0" w:line="240" w:lineRule="auto"/>
              <w:jc w:val="right"/>
            </w:pPr>
            <w:r>
              <w:rPr>
                <w:sz w:val="18"/>
              </w:rPr>
              <w:t>-</w:t>
            </w:r>
          </w:p>
        </w:tc>
      </w:tr>
    </w:tbl>
    <w:p w14:paraId="54E43824" w14:textId="77777777" w:rsidR="00633DD1" w:rsidRDefault="00633DD1">
      <w:pPr>
        <w:spacing w:after="0"/>
      </w:pPr>
    </w:p>
    <w:p w14:paraId="524AAEF8" w14:textId="77777777" w:rsidR="00633DD1" w:rsidRDefault="00000000">
      <w:r>
        <w:t>Na kraju izvještajnog razdoblja nema dospjelih obveza jer se sva dugovanja podmiruju sukladno valutama dospjeća.</w:t>
      </w:r>
    </w:p>
    <w:p w14:paraId="16273D88" w14:textId="77777777" w:rsidR="00633DD1" w:rsidRDefault="00000000">
      <w:r>
        <w:t> </w:t>
      </w:r>
    </w:p>
    <w:p w14:paraId="7A705149" w14:textId="77777777" w:rsidR="00633DD1" w:rsidRDefault="00633DD1"/>
    <w:p w14:paraId="41EB5747" w14:textId="77777777" w:rsidR="00633DD1" w:rsidRDefault="00000000">
      <w:pPr>
        <w:keepNext/>
        <w:spacing w:line="240" w:lineRule="auto"/>
        <w:jc w:val="center"/>
      </w:pPr>
      <w:r>
        <w:rPr>
          <w:sz w:val="28"/>
        </w:rPr>
        <w:t>Bilješka 31.</w:t>
      </w:r>
    </w:p>
    <w:p w14:paraId="7C801F13" w14:textId="77777777" w:rsidR="00633DD1" w:rsidRDefault="00000000">
      <w:pPr>
        <w:spacing w:line="240" w:lineRule="auto"/>
        <w:jc w:val="both"/>
      </w:pPr>
      <w:r>
        <w:rPr>
          <w:b/>
        </w:rPr>
        <w:t>EU izvještaj</w:t>
      </w:r>
    </w:p>
    <w:p w14:paraId="5A350566" w14:textId="77777777" w:rsidR="00633DD1" w:rsidRDefault="00000000">
      <w:r>
        <w:lastRenderedPageBreak/>
        <w:t>Tokom godine kao partner na projektu ostvarili smo 83.261,31 € tekućih pomoći iz JLS temeljem prijenosa EU sredstava za projekat Brižne ruke podravske koji je financiran iz Europskog socijalnog fonda plus. </w:t>
      </w:r>
    </w:p>
    <w:p w14:paraId="3F1D10AB" w14:textId="77777777" w:rsidR="00633DD1" w:rsidRDefault="00000000">
      <w:r>
        <w:t>Rashodi za bruto plaće i materijalna prava djelatnica u sklopu projekta iznose 102.447,20 €.</w:t>
      </w:r>
    </w:p>
    <w:p w14:paraId="59153833" w14:textId="77777777" w:rsidR="00633DD1" w:rsidRDefault="00000000">
      <w:r>
        <w:t>Potraživanja za obračunate prihode iznose 27.830,33 €</w:t>
      </w:r>
    </w:p>
    <w:p w14:paraId="1E19F2B1" w14:textId="77777777" w:rsidR="00633DD1" w:rsidRDefault="00633DD1"/>
    <w:sectPr w:rsidR="00633D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DD1"/>
    <w:rsid w:val="00633DD1"/>
    <w:rsid w:val="00B95543"/>
    <w:rsid w:val="00F87C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24EC"/>
  <w15:docId w15:val="{14E00DCC-651F-4141-808D-A4C6C20C6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2104</Words>
  <Characters>11997</Characters>
  <Application>Microsoft Office Word</Application>
  <DocSecurity>0</DocSecurity>
  <Lines>99</Lines>
  <Paragraphs>28</Paragraphs>
  <ScaleCrop>false</ScaleCrop>
  <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2026-02-03T07:40:00Z</dcterms:created>
  <dcterms:modified xsi:type="dcterms:W3CDTF">2026-02-03T07:40:00Z</dcterms:modified>
</cp:coreProperties>
</file>