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C198C" w14:paraId="48BF58CB" w14:textId="77777777">
        <w:tblPrEx>
          <w:tblCellMar>
            <w:top w:w="0" w:type="dxa"/>
            <w:bottom w:w="0" w:type="dxa"/>
          </w:tblCellMar>
        </w:tblPrEx>
        <w:trPr>
          <w:tblCellSpacing w:w="60" w:type="dxa"/>
        </w:trPr>
        <w:tc>
          <w:tcPr>
            <w:tcW w:w="1200" w:type="pct"/>
            <w:shd w:val="clear" w:color="auto" w:fill="E7F0F9"/>
          </w:tcPr>
          <w:p w14:paraId="0FF148B6" w14:textId="77777777" w:rsidR="00CC198C" w:rsidRDefault="00000000">
            <w:pPr>
              <w:spacing w:after="0" w:line="240" w:lineRule="auto"/>
            </w:pPr>
            <w:r>
              <w:rPr>
                <w:b/>
              </w:rPr>
              <w:t>RKP broj</w:t>
            </w:r>
          </w:p>
        </w:tc>
        <w:tc>
          <w:tcPr>
            <w:tcW w:w="0" w:type="auto"/>
            <w:shd w:val="clear" w:color="auto" w:fill="E7F0F9"/>
          </w:tcPr>
          <w:p w14:paraId="367F3274" w14:textId="77777777" w:rsidR="00CC198C" w:rsidRDefault="00000000">
            <w:pPr>
              <w:spacing w:after="0" w:line="240" w:lineRule="auto"/>
            </w:pPr>
            <w:r>
              <w:t>27861</w:t>
            </w:r>
          </w:p>
        </w:tc>
      </w:tr>
      <w:tr w:rsidR="00CC198C" w14:paraId="57002DE4" w14:textId="77777777">
        <w:tblPrEx>
          <w:tblCellMar>
            <w:top w:w="0" w:type="dxa"/>
            <w:bottom w:w="0" w:type="dxa"/>
          </w:tblCellMar>
        </w:tblPrEx>
        <w:trPr>
          <w:tblCellSpacing w:w="60" w:type="dxa"/>
        </w:trPr>
        <w:tc>
          <w:tcPr>
            <w:tcW w:w="1200" w:type="pct"/>
            <w:shd w:val="clear" w:color="auto" w:fill="E7F0F9"/>
          </w:tcPr>
          <w:p w14:paraId="6FBE369D" w14:textId="77777777" w:rsidR="00CC198C" w:rsidRDefault="00000000">
            <w:pPr>
              <w:spacing w:after="0" w:line="240" w:lineRule="auto"/>
            </w:pPr>
            <w:r>
              <w:rPr>
                <w:b/>
              </w:rPr>
              <w:t>Naziv obveznika</w:t>
            </w:r>
          </w:p>
        </w:tc>
        <w:tc>
          <w:tcPr>
            <w:tcW w:w="0" w:type="auto"/>
            <w:shd w:val="clear" w:color="auto" w:fill="E7F0F9"/>
          </w:tcPr>
          <w:p w14:paraId="6F422130" w14:textId="77777777" w:rsidR="00CC198C" w:rsidRDefault="00000000">
            <w:pPr>
              <w:spacing w:after="0" w:line="240" w:lineRule="auto"/>
            </w:pPr>
            <w:r>
              <w:t>OPĆINA FERDINANDOVAC</w:t>
            </w:r>
          </w:p>
        </w:tc>
      </w:tr>
      <w:tr w:rsidR="00CC198C" w14:paraId="1C158CAB" w14:textId="77777777">
        <w:tblPrEx>
          <w:tblCellMar>
            <w:top w:w="0" w:type="dxa"/>
            <w:bottom w:w="0" w:type="dxa"/>
          </w:tblCellMar>
        </w:tblPrEx>
        <w:trPr>
          <w:tblCellSpacing w:w="60" w:type="dxa"/>
        </w:trPr>
        <w:tc>
          <w:tcPr>
            <w:tcW w:w="1200" w:type="pct"/>
            <w:shd w:val="clear" w:color="auto" w:fill="E7F0F9"/>
          </w:tcPr>
          <w:p w14:paraId="3CED5C9E" w14:textId="77777777" w:rsidR="00CC198C" w:rsidRDefault="00000000">
            <w:pPr>
              <w:spacing w:after="0" w:line="240" w:lineRule="auto"/>
            </w:pPr>
            <w:r>
              <w:rPr>
                <w:b/>
              </w:rPr>
              <w:t>Razina</w:t>
            </w:r>
          </w:p>
        </w:tc>
        <w:tc>
          <w:tcPr>
            <w:tcW w:w="0" w:type="auto"/>
            <w:shd w:val="clear" w:color="auto" w:fill="E7F0F9"/>
          </w:tcPr>
          <w:p w14:paraId="7906FC9A" w14:textId="77777777" w:rsidR="00CC198C" w:rsidRDefault="00000000">
            <w:pPr>
              <w:spacing w:after="0" w:line="240" w:lineRule="auto"/>
            </w:pPr>
            <w:r>
              <w:t>23</w:t>
            </w:r>
          </w:p>
        </w:tc>
      </w:tr>
    </w:tbl>
    <w:p w14:paraId="01C2452E" w14:textId="77777777" w:rsidR="00CC198C" w:rsidRDefault="00000000">
      <w:r>
        <w:br/>
      </w:r>
    </w:p>
    <w:p w14:paraId="14E4AD03" w14:textId="77777777" w:rsidR="00CC198C" w:rsidRDefault="00000000">
      <w:pPr>
        <w:spacing w:line="240" w:lineRule="auto"/>
        <w:jc w:val="center"/>
      </w:pPr>
      <w:r>
        <w:rPr>
          <w:b/>
          <w:sz w:val="28"/>
        </w:rPr>
        <w:t>BILJEŠKE UZ FINANCIJSKE IZVJEŠTAJE</w:t>
      </w:r>
    </w:p>
    <w:p w14:paraId="23CE0185" w14:textId="77777777" w:rsidR="00CC198C" w:rsidRDefault="00000000">
      <w:pPr>
        <w:spacing w:line="240" w:lineRule="auto"/>
        <w:jc w:val="center"/>
      </w:pPr>
      <w:r>
        <w:rPr>
          <w:b/>
          <w:sz w:val="28"/>
        </w:rPr>
        <w:t>ZA RAZDOBLJE</w:t>
      </w:r>
    </w:p>
    <w:p w14:paraId="311D02FD" w14:textId="77777777" w:rsidR="00CC198C" w:rsidRDefault="00000000">
      <w:pPr>
        <w:spacing w:line="240" w:lineRule="auto"/>
        <w:jc w:val="center"/>
      </w:pPr>
      <w:r>
        <w:rPr>
          <w:b/>
          <w:sz w:val="28"/>
        </w:rPr>
        <w:t>I - XII 2025.</w:t>
      </w:r>
    </w:p>
    <w:p w14:paraId="41087C2D" w14:textId="77777777" w:rsidR="00CC198C" w:rsidRDefault="00CC198C"/>
    <w:p w14:paraId="7D90A322" w14:textId="77777777" w:rsidR="00CC198C" w:rsidRDefault="00000000">
      <w:pPr>
        <w:keepNext/>
        <w:spacing w:line="240" w:lineRule="auto"/>
        <w:jc w:val="center"/>
      </w:pPr>
      <w:r>
        <w:rPr>
          <w:b/>
          <w:sz w:val="28"/>
        </w:rPr>
        <w:t>Izvještaj o prihodima i rashodima, primicima i izdacima</w:t>
      </w:r>
    </w:p>
    <w:p w14:paraId="30CF58EC" w14:textId="77777777" w:rsidR="00CC198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025F5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31C18"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A98DB3"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ADE2B9"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DF8CC1"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278EC5"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D006B" w14:textId="77777777" w:rsidR="00CC198C" w:rsidRDefault="00000000">
            <w:pPr>
              <w:keepNext/>
              <w:keepLines/>
              <w:spacing w:after="0" w:line="240" w:lineRule="auto"/>
              <w:jc w:val="center"/>
            </w:pPr>
            <w:r>
              <w:rPr>
                <w:b/>
                <w:sz w:val="18"/>
              </w:rPr>
              <w:t>Indeks (%)</w:t>
            </w:r>
          </w:p>
        </w:tc>
      </w:tr>
      <w:tr w:rsidR="00CC198C" w14:paraId="2C93E9E5" w14:textId="77777777">
        <w:tblPrEx>
          <w:tblCellMar>
            <w:top w:w="0" w:type="dxa"/>
            <w:bottom w:w="0" w:type="dxa"/>
          </w:tblCellMar>
        </w:tblPrEx>
        <w:trPr>
          <w:cantSplit/>
          <w:trHeight w:val="560"/>
        </w:trPr>
        <w:tc>
          <w:tcPr>
            <w:tcW w:w="700" w:type="dxa"/>
            <w:tcMar>
              <w:top w:w="0" w:type="dxa"/>
              <w:bottom w:w="0" w:type="dxa"/>
            </w:tcMar>
            <w:vAlign w:val="center"/>
          </w:tcPr>
          <w:p w14:paraId="4B45D188" w14:textId="77777777" w:rsidR="00CC198C" w:rsidRDefault="00000000">
            <w:pPr>
              <w:keepNext/>
              <w:keepLines/>
              <w:spacing w:after="0" w:line="240" w:lineRule="auto"/>
            </w:pPr>
            <w:r>
              <w:rPr>
                <w:sz w:val="18"/>
              </w:rPr>
              <w:t>6</w:t>
            </w:r>
          </w:p>
        </w:tc>
        <w:tc>
          <w:tcPr>
            <w:tcW w:w="3180" w:type="dxa"/>
            <w:tcMar>
              <w:top w:w="0" w:type="dxa"/>
              <w:bottom w:w="0" w:type="dxa"/>
            </w:tcMar>
            <w:vAlign w:val="center"/>
          </w:tcPr>
          <w:p w14:paraId="5084344F" w14:textId="77777777" w:rsidR="00CC198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AD7A41F" w14:textId="77777777" w:rsidR="00CC198C" w:rsidRDefault="00000000">
            <w:pPr>
              <w:keepNext/>
              <w:keepLines/>
              <w:spacing w:after="0" w:line="240" w:lineRule="auto"/>
            </w:pPr>
            <w:r>
              <w:rPr>
                <w:sz w:val="18"/>
              </w:rPr>
              <w:t>6</w:t>
            </w:r>
          </w:p>
        </w:tc>
        <w:tc>
          <w:tcPr>
            <w:tcW w:w="1860" w:type="dxa"/>
            <w:tcMar>
              <w:top w:w="0" w:type="dxa"/>
              <w:bottom w:w="0" w:type="dxa"/>
            </w:tcMar>
            <w:vAlign w:val="center"/>
          </w:tcPr>
          <w:p w14:paraId="3DC028E8" w14:textId="77777777" w:rsidR="00CC198C" w:rsidRDefault="00000000">
            <w:pPr>
              <w:keepNext/>
              <w:keepLines/>
              <w:spacing w:after="0" w:line="240" w:lineRule="auto"/>
              <w:jc w:val="right"/>
            </w:pPr>
            <w:r>
              <w:rPr>
                <w:sz w:val="18"/>
              </w:rPr>
              <w:t>1.287.337,93</w:t>
            </w:r>
          </w:p>
        </w:tc>
        <w:tc>
          <w:tcPr>
            <w:tcW w:w="1860" w:type="dxa"/>
            <w:tcMar>
              <w:top w:w="0" w:type="dxa"/>
              <w:bottom w:w="0" w:type="dxa"/>
            </w:tcMar>
            <w:vAlign w:val="center"/>
          </w:tcPr>
          <w:p w14:paraId="0FEE18A3" w14:textId="77777777" w:rsidR="00CC198C" w:rsidRDefault="00000000">
            <w:pPr>
              <w:keepNext/>
              <w:keepLines/>
              <w:spacing w:after="0" w:line="240" w:lineRule="auto"/>
              <w:jc w:val="right"/>
            </w:pPr>
            <w:r>
              <w:rPr>
                <w:sz w:val="18"/>
              </w:rPr>
              <w:t>1.529.735,77</w:t>
            </w:r>
          </w:p>
        </w:tc>
        <w:tc>
          <w:tcPr>
            <w:tcW w:w="700" w:type="dxa"/>
            <w:tcMar>
              <w:top w:w="0" w:type="dxa"/>
              <w:bottom w:w="0" w:type="dxa"/>
            </w:tcMar>
            <w:vAlign w:val="center"/>
          </w:tcPr>
          <w:p w14:paraId="3C33DC36" w14:textId="77777777" w:rsidR="00CC198C" w:rsidRDefault="00000000">
            <w:pPr>
              <w:keepNext/>
              <w:keepLines/>
              <w:spacing w:after="0" w:line="240" w:lineRule="auto"/>
              <w:jc w:val="right"/>
            </w:pPr>
            <w:r>
              <w:rPr>
                <w:sz w:val="18"/>
              </w:rPr>
              <w:t>118,8</w:t>
            </w:r>
          </w:p>
        </w:tc>
      </w:tr>
      <w:tr w:rsidR="00CC198C" w14:paraId="4712943D" w14:textId="77777777">
        <w:tblPrEx>
          <w:tblCellMar>
            <w:top w:w="0" w:type="dxa"/>
            <w:bottom w:w="0" w:type="dxa"/>
          </w:tblCellMar>
        </w:tblPrEx>
        <w:trPr>
          <w:cantSplit/>
          <w:trHeight w:val="560"/>
        </w:trPr>
        <w:tc>
          <w:tcPr>
            <w:tcW w:w="700" w:type="dxa"/>
            <w:tcMar>
              <w:top w:w="0" w:type="dxa"/>
              <w:bottom w:w="0" w:type="dxa"/>
            </w:tcMar>
            <w:vAlign w:val="center"/>
          </w:tcPr>
          <w:p w14:paraId="4180CDB5" w14:textId="77777777" w:rsidR="00CC198C" w:rsidRDefault="00000000">
            <w:pPr>
              <w:keepNext/>
              <w:keepLines/>
              <w:spacing w:after="0" w:line="240" w:lineRule="auto"/>
            </w:pPr>
            <w:r>
              <w:rPr>
                <w:sz w:val="18"/>
              </w:rPr>
              <w:t>3</w:t>
            </w:r>
          </w:p>
        </w:tc>
        <w:tc>
          <w:tcPr>
            <w:tcW w:w="3180" w:type="dxa"/>
            <w:tcMar>
              <w:top w:w="0" w:type="dxa"/>
              <w:bottom w:w="0" w:type="dxa"/>
            </w:tcMar>
            <w:vAlign w:val="center"/>
          </w:tcPr>
          <w:p w14:paraId="05607897" w14:textId="77777777" w:rsidR="00CC198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0FEF88B" w14:textId="77777777" w:rsidR="00CC198C" w:rsidRDefault="00000000">
            <w:pPr>
              <w:keepNext/>
              <w:keepLines/>
              <w:spacing w:after="0" w:line="240" w:lineRule="auto"/>
            </w:pPr>
            <w:r>
              <w:rPr>
                <w:sz w:val="18"/>
              </w:rPr>
              <w:t>3</w:t>
            </w:r>
          </w:p>
        </w:tc>
        <w:tc>
          <w:tcPr>
            <w:tcW w:w="1860" w:type="dxa"/>
            <w:tcMar>
              <w:top w:w="0" w:type="dxa"/>
              <w:bottom w:w="0" w:type="dxa"/>
            </w:tcMar>
            <w:vAlign w:val="center"/>
          </w:tcPr>
          <w:p w14:paraId="3091D579" w14:textId="77777777" w:rsidR="00CC198C" w:rsidRDefault="00000000">
            <w:pPr>
              <w:keepNext/>
              <w:keepLines/>
              <w:spacing w:after="0" w:line="240" w:lineRule="auto"/>
              <w:jc w:val="right"/>
            </w:pPr>
            <w:r>
              <w:rPr>
                <w:sz w:val="18"/>
              </w:rPr>
              <w:t>1.032.122,41</w:t>
            </w:r>
          </w:p>
        </w:tc>
        <w:tc>
          <w:tcPr>
            <w:tcW w:w="1860" w:type="dxa"/>
            <w:tcMar>
              <w:top w:w="0" w:type="dxa"/>
              <w:bottom w:w="0" w:type="dxa"/>
            </w:tcMar>
            <w:vAlign w:val="center"/>
          </w:tcPr>
          <w:p w14:paraId="65B748CA" w14:textId="77777777" w:rsidR="00CC198C" w:rsidRDefault="00000000">
            <w:pPr>
              <w:keepNext/>
              <w:keepLines/>
              <w:spacing w:after="0" w:line="240" w:lineRule="auto"/>
              <w:jc w:val="right"/>
            </w:pPr>
            <w:r>
              <w:rPr>
                <w:sz w:val="18"/>
              </w:rPr>
              <w:t>1.205.185,46</w:t>
            </w:r>
          </w:p>
        </w:tc>
        <w:tc>
          <w:tcPr>
            <w:tcW w:w="700" w:type="dxa"/>
            <w:tcMar>
              <w:top w:w="0" w:type="dxa"/>
              <w:bottom w:w="0" w:type="dxa"/>
            </w:tcMar>
            <w:vAlign w:val="center"/>
          </w:tcPr>
          <w:p w14:paraId="43705250" w14:textId="77777777" w:rsidR="00CC198C" w:rsidRDefault="00000000">
            <w:pPr>
              <w:keepNext/>
              <w:keepLines/>
              <w:spacing w:after="0" w:line="240" w:lineRule="auto"/>
              <w:jc w:val="right"/>
            </w:pPr>
            <w:r>
              <w:rPr>
                <w:sz w:val="18"/>
              </w:rPr>
              <w:t>116,8</w:t>
            </w:r>
          </w:p>
        </w:tc>
      </w:tr>
      <w:tr w:rsidR="00CC198C" w14:paraId="53486138" w14:textId="77777777">
        <w:tblPrEx>
          <w:tblCellMar>
            <w:top w:w="0" w:type="dxa"/>
            <w:bottom w:w="0" w:type="dxa"/>
          </w:tblCellMar>
        </w:tblPrEx>
        <w:trPr>
          <w:cantSplit/>
          <w:trHeight w:val="560"/>
        </w:trPr>
        <w:tc>
          <w:tcPr>
            <w:tcW w:w="700" w:type="dxa"/>
            <w:tcMar>
              <w:top w:w="0" w:type="dxa"/>
              <w:bottom w:w="0" w:type="dxa"/>
            </w:tcMar>
            <w:vAlign w:val="center"/>
          </w:tcPr>
          <w:p w14:paraId="2ECDC572" w14:textId="77777777" w:rsidR="00CC198C" w:rsidRDefault="00CC198C">
            <w:pPr>
              <w:keepNext/>
              <w:keepLines/>
              <w:spacing w:after="0" w:line="240" w:lineRule="auto"/>
            </w:pPr>
          </w:p>
        </w:tc>
        <w:tc>
          <w:tcPr>
            <w:tcW w:w="3180" w:type="dxa"/>
            <w:tcMar>
              <w:top w:w="0" w:type="dxa"/>
              <w:bottom w:w="0" w:type="dxa"/>
            </w:tcMar>
            <w:vAlign w:val="center"/>
          </w:tcPr>
          <w:p w14:paraId="271C85BA" w14:textId="77777777" w:rsidR="00CC198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C42E5D9" w14:textId="77777777" w:rsidR="00CC198C" w:rsidRDefault="00000000">
            <w:pPr>
              <w:keepNext/>
              <w:keepLines/>
              <w:spacing w:after="0" w:line="240" w:lineRule="auto"/>
            </w:pPr>
            <w:r>
              <w:rPr>
                <w:b/>
                <w:sz w:val="18"/>
              </w:rPr>
              <w:t>X001</w:t>
            </w:r>
          </w:p>
        </w:tc>
        <w:tc>
          <w:tcPr>
            <w:tcW w:w="1860" w:type="dxa"/>
            <w:tcMar>
              <w:top w:w="0" w:type="dxa"/>
              <w:bottom w:w="0" w:type="dxa"/>
            </w:tcMar>
            <w:vAlign w:val="center"/>
          </w:tcPr>
          <w:p w14:paraId="7D786EED" w14:textId="77777777" w:rsidR="00CC198C" w:rsidRDefault="00000000">
            <w:pPr>
              <w:keepNext/>
              <w:keepLines/>
              <w:spacing w:after="0" w:line="240" w:lineRule="auto"/>
              <w:jc w:val="right"/>
            </w:pPr>
            <w:r>
              <w:rPr>
                <w:b/>
                <w:sz w:val="18"/>
              </w:rPr>
              <w:t>255.215,52</w:t>
            </w:r>
          </w:p>
        </w:tc>
        <w:tc>
          <w:tcPr>
            <w:tcW w:w="1860" w:type="dxa"/>
            <w:tcMar>
              <w:top w:w="0" w:type="dxa"/>
              <w:bottom w:w="0" w:type="dxa"/>
            </w:tcMar>
            <w:vAlign w:val="center"/>
          </w:tcPr>
          <w:p w14:paraId="104463AD" w14:textId="77777777" w:rsidR="00CC198C" w:rsidRDefault="00000000">
            <w:pPr>
              <w:keepNext/>
              <w:keepLines/>
              <w:spacing w:after="0" w:line="240" w:lineRule="auto"/>
              <w:jc w:val="right"/>
            </w:pPr>
            <w:r>
              <w:rPr>
                <w:b/>
                <w:sz w:val="18"/>
              </w:rPr>
              <w:t>324.550,31</w:t>
            </w:r>
          </w:p>
        </w:tc>
        <w:tc>
          <w:tcPr>
            <w:tcW w:w="700" w:type="dxa"/>
            <w:tcMar>
              <w:top w:w="0" w:type="dxa"/>
              <w:bottom w:w="0" w:type="dxa"/>
            </w:tcMar>
            <w:vAlign w:val="center"/>
          </w:tcPr>
          <w:p w14:paraId="2AB094C7" w14:textId="77777777" w:rsidR="00CC198C" w:rsidRDefault="00000000">
            <w:pPr>
              <w:keepNext/>
              <w:keepLines/>
              <w:spacing w:after="0" w:line="240" w:lineRule="auto"/>
              <w:jc w:val="right"/>
            </w:pPr>
            <w:r>
              <w:rPr>
                <w:b/>
                <w:sz w:val="18"/>
              </w:rPr>
              <w:t>127,2</w:t>
            </w:r>
          </w:p>
        </w:tc>
      </w:tr>
      <w:tr w:rsidR="00CC198C" w14:paraId="36BEEACC" w14:textId="77777777">
        <w:tblPrEx>
          <w:tblCellMar>
            <w:top w:w="0" w:type="dxa"/>
            <w:bottom w:w="0" w:type="dxa"/>
          </w:tblCellMar>
        </w:tblPrEx>
        <w:trPr>
          <w:cantSplit/>
          <w:trHeight w:val="560"/>
        </w:trPr>
        <w:tc>
          <w:tcPr>
            <w:tcW w:w="700" w:type="dxa"/>
            <w:tcMar>
              <w:top w:w="0" w:type="dxa"/>
              <w:bottom w:w="0" w:type="dxa"/>
            </w:tcMar>
            <w:vAlign w:val="center"/>
          </w:tcPr>
          <w:p w14:paraId="1AC693C3" w14:textId="77777777" w:rsidR="00CC198C" w:rsidRDefault="00000000">
            <w:pPr>
              <w:keepNext/>
              <w:keepLines/>
              <w:spacing w:after="0" w:line="240" w:lineRule="auto"/>
            </w:pPr>
            <w:r>
              <w:rPr>
                <w:sz w:val="18"/>
              </w:rPr>
              <w:t>7</w:t>
            </w:r>
          </w:p>
        </w:tc>
        <w:tc>
          <w:tcPr>
            <w:tcW w:w="3180" w:type="dxa"/>
            <w:tcMar>
              <w:top w:w="0" w:type="dxa"/>
              <w:bottom w:w="0" w:type="dxa"/>
            </w:tcMar>
            <w:vAlign w:val="center"/>
          </w:tcPr>
          <w:p w14:paraId="4F1F6154" w14:textId="77777777" w:rsidR="00CC198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1E5A3EB" w14:textId="77777777" w:rsidR="00CC198C" w:rsidRDefault="00000000">
            <w:pPr>
              <w:keepNext/>
              <w:keepLines/>
              <w:spacing w:after="0" w:line="240" w:lineRule="auto"/>
            </w:pPr>
            <w:r>
              <w:rPr>
                <w:sz w:val="18"/>
              </w:rPr>
              <w:t>7</w:t>
            </w:r>
          </w:p>
        </w:tc>
        <w:tc>
          <w:tcPr>
            <w:tcW w:w="1860" w:type="dxa"/>
            <w:tcMar>
              <w:top w:w="0" w:type="dxa"/>
              <w:bottom w:w="0" w:type="dxa"/>
            </w:tcMar>
            <w:vAlign w:val="center"/>
          </w:tcPr>
          <w:p w14:paraId="61CE1E06" w14:textId="77777777" w:rsidR="00CC198C" w:rsidRDefault="00000000">
            <w:pPr>
              <w:keepNext/>
              <w:keepLines/>
              <w:spacing w:after="0" w:line="240" w:lineRule="auto"/>
              <w:jc w:val="right"/>
            </w:pPr>
            <w:r>
              <w:rPr>
                <w:sz w:val="18"/>
              </w:rPr>
              <w:t>510,27</w:t>
            </w:r>
          </w:p>
        </w:tc>
        <w:tc>
          <w:tcPr>
            <w:tcW w:w="1860" w:type="dxa"/>
            <w:tcMar>
              <w:top w:w="0" w:type="dxa"/>
              <w:bottom w:w="0" w:type="dxa"/>
            </w:tcMar>
            <w:vAlign w:val="center"/>
          </w:tcPr>
          <w:p w14:paraId="3B62BA1A" w14:textId="77777777" w:rsidR="00CC198C" w:rsidRDefault="00000000">
            <w:pPr>
              <w:keepNext/>
              <w:keepLines/>
              <w:spacing w:after="0" w:line="240" w:lineRule="auto"/>
              <w:jc w:val="right"/>
            </w:pPr>
            <w:r>
              <w:rPr>
                <w:sz w:val="18"/>
              </w:rPr>
              <w:t>0,00</w:t>
            </w:r>
          </w:p>
        </w:tc>
        <w:tc>
          <w:tcPr>
            <w:tcW w:w="700" w:type="dxa"/>
            <w:tcMar>
              <w:top w:w="0" w:type="dxa"/>
              <w:bottom w:w="0" w:type="dxa"/>
            </w:tcMar>
            <w:vAlign w:val="center"/>
          </w:tcPr>
          <w:p w14:paraId="558A53D5" w14:textId="77777777" w:rsidR="00CC198C" w:rsidRDefault="00000000">
            <w:pPr>
              <w:keepNext/>
              <w:keepLines/>
              <w:spacing w:after="0" w:line="240" w:lineRule="auto"/>
              <w:jc w:val="right"/>
            </w:pPr>
            <w:r>
              <w:rPr>
                <w:sz w:val="18"/>
              </w:rPr>
              <w:t>0</w:t>
            </w:r>
          </w:p>
        </w:tc>
      </w:tr>
      <w:tr w:rsidR="00CC198C" w14:paraId="47A150AA" w14:textId="77777777">
        <w:tblPrEx>
          <w:tblCellMar>
            <w:top w:w="0" w:type="dxa"/>
            <w:bottom w:w="0" w:type="dxa"/>
          </w:tblCellMar>
        </w:tblPrEx>
        <w:trPr>
          <w:cantSplit/>
          <w:trHeight w:val="560"/>
        </w:trPr>
        <w:tc>
          <w:tcPr>
            <w:tcW w:w="700" w:type="dxa"/>
            <w:tcMar>
              <w:top w:w="0" w:type="dxa"/>
              <w:bottom w:w="0" w:type="dxa"/>
            </w:tcMar>
            <w:vAlign w:val="center"/>
          </w:tcPr>
          <w:p w14:paraId="55425479" w14:textId="77777777" w:rsidR="00CC198C" w:rsidRDefault="00000000">
            <w:pPr>
              <w:keepNext/>
              <w:keepLines/>
              <w:spacing w:after="0" w:line="240" w:lineRule="auto"/>
            </w:pPr>
            <w:r>
              <w:rPr>
                <w:sz w:val="18"/>
              </w:rPr>
              <w:t>4</w:t>
            </w:r>
          </w:p>
        </w:tc>
        <w:tc>
          <w:tcPr>
            <w:tcW w:w="3180" w:type="dxa"/>
            <w:tcMar>
              <w:top w:w="0" w:type="dxa"/>
              <w:bottom w:w="0" w:type="dxa"/>
            </w:tcMar>
            <w:vAlign w:val="center"/>
          </w:tcPr>
          <w:p w14:paraId="6CAF80EB" w14:textId="77777777" w:rsidR="00CC198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3F1A4D8" w14:textId="77777777" w:rsidR="00CC198C" w:rsidRDefault="00000000">
            <w:pPr>
              <w:keepNext/>
              <w:keepLines/>
              <w:spacing w:after="0" w:line="240" w:lineRule="auto"/>
            </w:pPr>
            <w:r>
              <w:rPr>
                <w:sz w:val="18"/>
              </w:rPr>
              <w:t>4</w:t>
            </w:r>
          </w:p>
        </w:tc>
        <w:tc>
          <w:tcPr>
            <w:tcW w:w="1860" w:type="dxa"/>
            <w:tcMar>
              <w:top w:w="0" w:type="dxa"/>
              <w:bottom w:w="0" w:type="dxa"/>
            </w:tcMar>
            <w:vAlign w:val="center"/>
          </w:tcPr>
          <w:p w14:paraId="084DB47C" w14:textId="77777777" w:rsidR="00CC198C" w:rsidRDefault="00000000">
            <w:pPr>
              <w:keepNext/>
              <w:keepLines/>
              <w:spacing w:after="0" w:line="240" w:lineRule="auto"/>
              <w:jc w:val="right"/>
            </w:pPr>
            <w:r>
              <w:rPr>
                <w:sz w:val="18"/>
              </w:rPr>
              <w:t>464.184,57</w:t>
            </w:r>
          </w:p>
        </w:tc>
        <w:tc>
          <w:tcPr>
            <w:tcW w:w="1860" w:type="dxa"/>
            <w:tcMar>
              <w:top w:w="0" w:type="dxa"/>
              <w:bottom w:w="0" w:type="dxa"/>
            </w:tcMar>
            <w:vAlign w:val="center"/>
          </w:tcPr>
          <w:p w14:paraId="2811AD80" w14:textId="77777777" w:rsidR="00CC198C" w:rsidRDefault="00000000">
            <w:pPr>
              <w:keepNext/>
              <w:keepLines/>
              <w:spacing w:after="0" w:line="240" w:lineRule="auto"/>
              <w:jc w:val="right"/>
            </w:pPr>
            <w:r>
              <w:rPr>
                <w:sz w:val="18"/>
              </w:rPr>
              <w:t>432.222,29</w:t>
            </w:r>
          </w:p>
        </w:tc>
        <w:tc>
          <w:tcPr>
            <w:tcW w:w="700" w:type="dxa"/>
            <w:tcMar>
              <w:top w:w="0" w:type="dxa"/>
              <w:bottom w:w="0" w:type="dxa"/>
            </w:tcMar>
            <w:vAlign w:val="center"/>
          </w:tcPr>
          <w:p w14:paraId="4939C0AC" w14:textId="77777777" w:rsidR="00CC198C" w:rsidRDefault="00000000">
            <w:pPr>
              <w:keepNext/>
              <w:keepLines/>
              <w:spacing w:after="0" w:line="240" w:lineRule="auto"/>
              <w:jc w:val="right"/>
            </w:pPr>
            <w:r>
              <w:rPr>
                <w:sz w:val="18"/>
              </w:rPr>
              <w:t>93,1</w:t>
            </w:r>
          </w:p>
        </w:tc>
      </w:tr>
      <w:tr w:rsidR="00CC198C" w14:paraId="339A8449" w14:textId="77777777">
        <w:tblPrEx>
          <w:tblCellMar>
            <w:top w:w="0" w:type="dxa"/>
            <w:bottom w:w="0" w:type="dxa"/>
          </w:tblCellMar>
        </w:tblPrEx>
        <w:trPr>
          <w:cantSplit/>
          <w:trHeight w:val="560"/>
        </w:trPr>
        <w:tc>
          <w:tcPr>
            <w:tcW w:w="700" w:type="dxa"/>
            <w:tcMar>
              <w:top w:w="0" w:type="dxa"/>
              <w:bottom w:w="0" w:type="dxa"/>
            </w:tcMar>
            <w:vAlign w:val="center"/>
          </w:tcPr>
          <w:p w14:paraId="12A05CDB" w14:textId="77777777" w:rsidR="00CC198C" w:rsidRDefault="00CC198C">
            <w:pPr>
              <w:keepNext/>
              <w:keepLines/>
              <w:spacing w:after="0" w:line="240" w:lineRule="auto"/>
            </w:pPr>
          </w:p>
        </w:tc>
        <w:tc>
          <w:tcPr>
            <w:tcW w:w="3180" w:type="dxa"/>
            <w:tcMar>
              <w:top w:w="0" w:type="dxa"/>
              <w:bottom w:w="0" w:type="dxa"/>
            </w:tcMar>
            <w:vAlign w:val="center"/>
          </w:tcPr>
          <w:p w14:paraId="2D1701E5" w14:textId="77777777" w:rsidR="00CC198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6B07AD7" w14:textId="77777777" w:rsidR="00CC198C" w:rsidRDefault="00000000">
            <w:pPr>
              <w:keepNext/>
              <w:keepLines/>
              <w:spacing w:after="0" w:line="240" w:lineRule="auto"/>
            </w:pPr>
            <w:r>
              <w:rPr>
                <w:b/>
                <w:sz w:val="18"/>
              </w:rPr>
              <w:t>Y002</w:t>
            </w:r>
          </w:p>
        </w:tc>
        <w:tc>
          <w:tcPr>
            <w:tcW w:w="1860" w:type="dxa"/>
            <w:tcMar>
              <w:top w:w="0" w:type="dxa"/>
              <w:bottom w:w="0" w:type="dxa"/>
            </w:tcMar>
            <w:vAlign w:val="center"/>
          </w:tcPr>
          <w:p w14:paraId="1B658358" w14:textId="77777777" w:rsidR="00CC198C" w:rsidRDefault="00000000">
            <w:pPr>
              <w:keepNext/>
              <w:keepLines/>
              <w:spacing w:after="0" w:line="240" w:lineRule="auto"/>
              <w:jc w:val="right"/>
            </w:pPr>
            <w:r>
              <w:rPr>
                <w:b/>
                <w:sz w:val="18"/>
              </w:rPr>
              <w:t>463.674,30</w:t>
            </w:r>
          </w:p>
        </w:tc>
        <w:tc>
          <w:tcPr>
            <w:tcW w:w="1860" w:type="dxa"/>
            <w:tcMar>
              <w:top w:w="0" w:type="dxa"/>
              <w:bottom w:w="0" w:type="dxa"/>
            </w:tcMar>
            <w:vAlign w:val="center"/>
          </w:tcPr>
          <w:p w14:paraId="206C7667" w14:textId="77777777" w:rsidR="00CC198C" w:rsidRDefault="00000000">
            <w:pPr>
              <w:keepNext/>
              <w:keepLines/>
              <w:spacing w:after="0" w:line="240" w:lineRule="auto"/>
              <w:jc w:val="right"/>
            </w:pPr>
            <w:r>
              <w:rPr>
                <w:b/>
                <w:sz w:val="18"/>
              </w:rPr>
              <w:t>432.222,29</w:t>
            </w:r>
          </w:p>
        </w:tc>
        <w:tc>
          <w:tcPr>
            <w:tcW w:w="700" w:type="dxa"/>
            <w:tcMar>
              <w:top w:w="0" w:type="dxa"/>
              <w:bottom w:w="0" w:type="dxa"/>
            </w:tcMar>
            <w:vAlign w:val="center"/>
          </w:tcPr>
          <w:p w14:paraId="7C070011" w14:textId="77777777" w:rsidR="00CC198C" w:rsidRDefault="00000000">
            <w:pPr>
              <w:keepNext/>
              <w:keepLines/>
              <w:spacing w:after="0" w:line="240" w:lineRule="auto"/>
              <w:jc w:val="right"/>
            </w:pPr>
            <w:r>
              <w:rPr>
                <w:b/>
                <w:sz w:val="18"/>
              </w:rPr>
              <w:t>93,2</w:t>
            </w:r>
          </w:p>
        </w:tc>
      </w:tr>
      <w:tr w:rsidR="00CC198C" w14:paraId="50EA4CB1" w14:textId="77777777">
        <w:tblPrEx>
          <w:tblCellMar>
            <w:top w:w="0" w:type="dxa"/>
            <w:bottom w:w="0" w:type="dxa"/>
          </w:tblCellMar>
        </w:tblPrEx>
        <w:trPr>
          <w:cantSplit/>
          <w:trHeight w:val="560"/>
        </w:trPr>
        <w:tc>
          <w:tcPr>
            <w:tcW w:w="700" w:type="dxa"/>
            <w:tcMar>
              <w:top w:w="0" w:type="dxa"/>
              <w:bottom w:w="0" w:type="dxa"/>
            </w:tcMar>
            <w:vAlign w:val="center"/>
          </w:tcPr>
          <w:p w14:paraId="49D1C4F4" w14:textId="77777777" w:rsidR="00CC198C" w:rsidRDefault="00000000">
            <w:pPr>
              <w:keepNext/>
              <w:keepLines/>
              <w:spacing w:after="0" w:line="240" w:lineRule="auto"/>
            </w:pPr>
            <w:r>
              <w:rPr>
                <w:sz w:val="18"/>
              </w:rPr>
              <w:t>8</w:t>
            </w:r>
          </w:p>
        </w:tc>
        <w:tc>
          <w:tcPr>
            <w:tcW w:w="3180" w:type="dxa"/>
            <w:tcMar>
              <w:top w:w="0" w:type="dxa"/>
              <w:bottom w:w="0" w:type="dxa"/>
            </w:tcMar>
            <w:vAlign w:val="center"/>
          </w:tcPr>
          <w:p w14:paraId="0F7D95B7" w14:textId="77777777" w:rsidR="00CC198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FE5557C" w14:textId="77777777" w:rsidR="00CC198C" w:rsidRDefault="00000000">
            <w:pPr>
              <w:keepNext/>
              <w:keepLines/>
              <w:spacing w:after="0" w:line="240" w:lineRule="auto"/>
            </w:pPr>
            <w:r>
              <w:rPr>
                <w:sz w:val="18"/>
              </w:rPr>
              <w:t>8</w:t>
            </w:r>
          </w:p>
        </w:tc>
        <w:tc>
          <w:tcPr>
            <w:tcW w:w="1860" w:type="dxa"/>
            <w:tcMar>
              <w:top w:w="0" w:type="dxa"/>
              <w:bottom w:w="0" w:type="dxa"/>
            </w:tcMar>
            <w:vAlign w:val="center"/>
          </w:tcPr>
          <w:p w14:paraId="7C0D653D" w14:textId="77777777" w:rsidR="00CC198C" w:rsidRDefault="00000000">
            <w:pPr>
              <w:keepNext/>
              <w:keepLines/>
              <w:spacing w:after="0" w:line="240" w:lineRule="auto"/>
              <w:jc w:val="right"/>
            </w:pPr>
            <w:r>
              <w:rPr>
                <w:sz w:val="18"/>
              </w:rPr>
              <w:t>0,00</w:t>
            </w:r>
          </w:p>
        </w:tc>
        <w:tc>
          <w:tcPr>
            <w:tcW w:w="1860" w:type="dxa"/>
            <w:tcMar>
              <w:top w:w="0" w:type="dxa"/>
              <w:bottom w:w="0" w:type="dxa"/>
            </w:tcMar>
            <w:vAlign w:val="center"/>
          </w:tcPr>
          <w:p w14:paraId="28F1C448" w14:textId="77777777" w:rsidR="00CC198C" w:rsidRDefault="00000000">
            <w:pPr>
              <w:keepNext/>
              <w:keepLines/>
              <w:spacing w:after="0" w:line="240" w:lineRule="auto"/>
              <w:jc w:val="right"/>
            </w:pPr>
            <w:r>
              <w:rPr>
                <w:sz w:val="18"/>
              </w:rPr>
              <w:t>0,00</w:t>
            </w:r>
          </w:p>
        </w:tc>
        <w:tc>
          <w:tcPr>
            <w:tcW w:w="700" w:type="dxa"/>
            <w:tcMar>
              <w:top w:w="0" w:type="dxa"/>
              <w:bottom w:w="0" w:type="dxa"/>
            </w:tcMar>
            <w:vAlign w:val="center"/>
          </w:tcPr>
          <w:p w14:paraId="5E03C004" w14:textId="77777777" w:rsidR="00CC198C" w:rsidRDefault="00000000">
            <w:pPr>
              <w:keepNext/>
              <w:keepLines/>
              <w:spacing w:after="0" w:line="240" w:lineRule="auto"/>
              <w:jc w:val="right"/>
            </w:pPr>
            <w:r>
              <w:rPr>
                <w:sz w:val="18"/>
              </w:rPr>
              <w:t>-</w:t>
            </w:r>
          </w:p>
        </w:tc>
      </w:tr>
      <w:tr w:rsidR="00CC198C" w14:paraId="513C847D" w14:textId="77777777">
        <w:tblPrEx>
          <w:tblCellMar>
            <w:top w:w="0" w:type="dxa"/>
            <w:bottom w:w="0" w:type="dxa"/>
          </w:tblCellMar>
        </w:tblPrEx>
        <w:trPr>
          <w:cantSplit/>
          <w:trHeight w:val="560"/>
        </w:trPr>
        <w:tc>
          <w:tcPr>
            <w:tcW w:w="700" w:type="dxa"/>
            <w:tcMar>
              <w:top w:w="0" w:type="dxa"/>
              <w:bottom w:w="0" w:type="dxa"/>
            </w:tcMar>
            <w:vAlign w:val="center"/>
          </w:tcPr>
          <w:p w14:paraId="478D0A14" w14:textId="77777777" w:rsidR="00CC198C" w:rsidRDefault="00000000">
            <w:pPr>
              <w:keepNext/>
              <w:keepLines/>
              <w:spacing w:after="0" w:line="240" w:lineRule="auto"/>
            </w:pPr>
            <w:r>
              <w:rPr>
                <w:sz w:val="18"/>
              </w:rPr>
              <w:t>5</w:t>
            </w:r>
          </w:p>
        </w:tc>
        <w:tc>
          <w:tcPr>
            <w:tcW w:w="3180" w:type="dxa"/>
            <w:tcMar>
              <w:top w:w="0" w:type="dxa"/>
              <w:bottom w:w="0" w:type="dxa"/>
            </w:tcMar>
            <w:vAlign w:val="center"/>
          </w:tcPr>
          <w:p w14:paraId="08C86AB3" w14:textId="77777777" w:rsidR="00CC198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BB208CE" w14:textId="77777777" w:rsidR="00CC198C" w:rsidRDefault="00000000">
            <w:pPr>
              <w:keepNext/>
              <w:keepLines/>
              <w:spacing w:after="0" w:line="240" w:lineRule="auto"/>
            </w:pPr>
            <w:r>
              <w:rPr>
                <w:sz w:val="18"/>
              </w:rPr>
              <w:t>5</w:t>
            </w:r>
          </w:p>
        </w:tc>
        <w:tc>
          <w:tcPr>
            <w:tcW w:w="1860" w:type="dxa"/>
            <w:tcMar>
              <w:top w:w="0" w:type="dxa"/>
              <w:bottom w:w="0" w:type="dxa"/>
            </w:tcMar>
            <w:vAlign w:val="center"/>
          </w:tcPr>
          <w:p w14:paraId="48088E05" w14:textId="77777777" w:rsidR="00CC198C" w:rsidRDefault="00000000">
            <w:pPr>
              <w:keepNext/>
              <w:keepLines/>
              <w:spacing w:after="0" w:line="240" w:lineRule="auto"/>
              <w:jc w:val="right"/>
            </w:pPr>
            <w:r>
              <w:rPr>
                <w:sz w:val="18"/>
              </w:rPr>
              <w:t>0,00</w:t>
            </w:r>
          </w:p>
        </w:tc>
        <w:tc>
          <w:tcPr>
            <w:tcW w:w="1860" w:type="dxa"/>
            <w:tcMar>
              <w:top w:w="0" w:type="dxa"/>
              <w:bottom w:w="0" w:type="dxa"/>
            </w:tcMar>
            <w:vAlign w:val="center"/>
          </w:tcPr>
          <w:p w14:paraId="0B3D1EBA" w14:textId="77777777" w:rsidR="00CC198C" w:rsidRDefault="00000000">
            <w:pPr>
              <w:keepNext/>
              <w:keepLines/>
              <w:spacing w:after="0" w:line="240" w:lineRule="auto"/>
              <w:jc w:val="right"/>
            </w:pPr>
            <w:r>
              <w:rPr>
                <w:sz w:val="18"/>
              </w:rPr>
              <w:t>0,00</w:t>
            </w:r>
          </w:p>
        </w:tc>
        <w:tc>
          <w:tcPr>
            <w:tcW w:w="700" w:type="dxa"/>
            <w:tcMar>
              <w:top w:w="0" w:type="dxa"/>
              <w:bottom w:w="0" w:type="dxa"/>
            </w:tcMar>
            <w:vAlign w:val="center"/>
          </w:tcPr>
          <w:p w14:paraId="42D06EEE" w14:textId="77777777" w:rsidR="00CC198C" w:rsidRDefault="00000000">
            <w:pPr>
              <w:keepNext/>
              <w:keepLines/>
              <w:spacing w:after="0" w:line="240" w:lineRule="auto"/>
              <w:jc w:val="right"/>
            </w:pPr>
            <w:r>
              <w:rPr>
                <w:sz w:val="18"/>
              </w:rPr>
              <w:t>-</w:t>
            </w:r>
          </w:p>
        </w:tc>
      </w:tr>
      <w:tr w:rsidR="00CC198C" w14:paraId="097D9602" w14:textId="77777777">
        <w:tblPrEx>
          <w:tblCellMar>
            <w:top w:w="0" w:type="dxa"/>
            <w:bottom w:w="0" w:type="dxa"/>
          </w:tblCellMar>
        </w:tblPrEx>
        <w:trPr>
          <w:cantSplit/>
          <w:trHeight w:val="560"/>
        </w:trPr>
        <w:tc>
          <w:tcPr>
            <w:tcW w:w="700" w:type="dxa"/>
            <w:tcMar>
              <w:top w:w="0" w:type="dxa"/>
              <w:bottom w:w="0" w:type="dxa"/>
            </w:tcMar>
            <w:vAlign w:val="center"/>
          </w:tcPr>
          <w:p w14:paraId="19B39C0F" w14:textId="77777777" w:rsidR="00CC198C" w:rsidRDefault="00CC198C">
            <w:pPr>
              <w:keepNext/>
              <w:keepLines/>
              <w:spacing w:after="0" w:line="240" w:lineRule="auto"/>
            </w:pPr>
          </w:p>
        </w:tc>
        <w:tc>
          <w:tcPr>
            <w:tcW w:w="3180" w:type="dxa"/>
            <w:tcMar>
              <w:top w:w="0" w:type="dxa"/>
              <w:bottom w:w="0" w:type="dxa"/>
            </w:tcMar>
            <w:vAlign w:val="center"/>
          </w:tcPr>
          <w:p w14:paraId="1A76AD77" w14:textId="77777777" w:rsidR="00CC198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5E962AE" w14:textId="77777777" w:rsidR="00CC198C" w:rsidRDefault="00000000">
            <w:pPr>
              <w:keepNext/>
              <w:keepLines/>
              <w:spacing w:after="0" w:line="240" w:lineRule="auto"/>
            </w:pPr>
            <w:r>
              <w:rPr>
                <w:b/>
                <w:sz w:val="18"/>
              </w:rPr>
              <w:t>X003, Y003</w:t>
            </w:r>
          </w:p>
        </w:tc>
        <w:tc>
          <w:tcPr>
            <w:tcW w:w="1860" w:type="dxa"/>
            <w:tcMar>
              <w:top w:w="0" w:type="dxa"/>
              <w:bottom w:w="0" w:type="dxa"/>
            </w:tcMar>
            <w:vAlign w:val="center"/>
          </w:tcPr>
          <w:p w14:paraId="757B8CBE" w14:textId="77777777" w:rsidR="00CC198C" w:rsidRDefault="00000000">
            <w:pPr>
              <w:keepNext/>
              <w:keepLines/>
              <w:spacing w:after="0" w:line="240" w:lineRule="auto"/>
              <w:jc w:val="right"/>
            </w:pPr>
            <w:r>
              <w:rPr>
                <w:b/>
                <w:sz w:val="18"/>
              </w:rPr>
              <w:t>0,00</w:t>
            </w:r>
          </w:p>
        </w:tc>
        <w:tc>
          <w:tcPr>
            <w:tcW w:w="1860" w:type="dxa"/>
            <w:tcMar>
              <w:top w:w="0" w:type="dxa"/>
              <w:bottom w:w="0" w:type="dxa"/>
            </w:tcMar>
            <w:vAlign w:val="center"/>
          </w:tcPr>
          <w:p w14:paraId="1FD34591" w14:textId="77777777" w:rsidR="00CC198C" w:rsidRDefault="00000000">
            <w:pPr>
              <w:keepNext/>
              <w:keepLines/>
              <w:spacing w:after="0" w:line="240" w:lineRule="auto"/>
              <w:jc w:val="right"/>
            </w:pPr>
            <w:r>
              <w:rPr>
                <w:b/>
                <w:sz w:val="18"/>
              </w:rPr>
              <w:t>0,00</w:t>
            </w:r>
          </w:p>
        </w:tc>
        <w:tc>
          <w:tcPr>
            <w:tcW w:w="700" w:type="dxa"/>
            <w:tcMar>
              <w:top w:w="0" w:type="dxa"/>
              <w:bottom w:w="0" w:type="dxa"/>
            </w:tcMar>
            <w:vAlign w:val="center"/>
          </w:tcPr>
          <w:p w14:paraId="07209EED" w14:textId="77777777" w:rsidR="00CC198C" w:rsidRDefault="00000000">
            <w:pPr>
              <w:keepNext/>
              <w:keepLines/>
              <w:spacing w:after="0" w:line="240" w:lineRule="auto"/>
              <w:jc w:val="right"/>
            </w:pPr>
            <w:r>
              <w:rPr>
                <w:b/>
                <w:sz w:val="18"/>
              </w:rPr>
              <w:t>-</w:t>
            </w:r>
          </w:p>
        </w:tc>
      </w:tr>
      <w:tr w:rsidR="00CC198C" w14:paraId="1F7B8E70" w14:textId="77777777">
        <w:tblPrEx>
          <w:tblCellMar>
            <w:top w:w="0" w:type="dxa"/>
            <w:bottom w:w="0" w:type="dxa"/>
          </w:tblCellMar>
        </w:tblPrEx>
        <w:trPr>
          <w:cantSplit/>
          <w:trHeight w:val="560"/>
        </w:trPr>
        <w:tc>
          <w:tcPr>
            <w:tcW w:w="700" w:type="dxa"/>
            <w:tcMar>
              <w:top w:w="0" w:type="dxa"/>
              <w:bottom w:w="0" w:type="dxa"/>
            </w:tcMar>
            <w:vAlign w:val="center"/>
          </w:tcPr>
          <w:p w14:paraId="31F08F23" w14:textId="77777777" w:rsidR="00CC198C" w:rsidRDefault="00CC198C">
            <w:pPr>
              <w:keepNext/>
              <w:keepLines/>
              <w:spacing w:after="0" w:line="240" w:lineRule="auto"/>
            </w:pPr>
          </w:p>
        </w:tc>
        <w:tc>
          <w:tcPr>
            <w:tcW w:w="3180" w:type="dxa"/>
            <w:tcMar>
              <w:top w:w="0" w:type="dxa"/>
              <w:bottom w:w="0" w:type="dxa"/>
            </w:tcMar>
            <w:vAlign w:val="center"/>
          </w:tcPr>
          <w:p w14:paraId="74B00555" w14:textId="77777777" w:rsidR="00CC198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FC982FE" w14:textId="77777777" w:rsidR="00CC198C" w:rsidRDefault="00000000">
            <w:pPr>
              <w:keepNext/>
              <w:keepLines/>
              <w:spacing w:after="0" w:line="240" w:lineRule="auto"/>
            </w:pPr>
            <w:r>
              <w:rPr>
                <w:b/>
                <w:sz w:val="18"/>
              </w:rPr>
              <w:t>Y005</w:t>
            </w:r>
          </w:p>
        </w:tc>
        <w:tc>
          <w:tcPr>
            <w:tcW w:w="1860" w:type="dxa"/>
            <w:tcMar>
              <w:top w:w="0" w:type="dxa"/>
              <w:bottom w:w="0" w:type="dxa"/>
            </w:tcMar>
            <w:vAlign w:val="center"/>
          </w:tcPr>
          <w:p w14:paraId="10B32085" w14:textId="77777777" w:rsidR="00CC198C" w:rsidRDefault="00000000">
            <w:pPr>
              <w:keepNext/>
              <w:keepLines/>
              <w:spacing w:after="0" w:line="240" w:lineRule="auto"/>
              <w:jc w:val="right"/>
            </w:pPr>
            <w:r>
              <w:rPr>
                <w:b/>
                <w:sz w:val="18"/>
              </w:rPr>
              <w:t>208.458,78</w:t>
            </w:r>
          </w:p>
        </w:tc>
        <w:tc>
          <w:tcPr>
            <w:tcW w:w="1860" w:type="dxa"/>
            <w:tcMar>
              <w:top w:w="0" w:type="dxa"/>
              <w:bottom w:w="0" w:type="dxa"/>
            </w:tcMar>
            <w:vAlign w:val="center"/>
          </w:tcPr>
          <w:p w14:paraId="42F3446A" w14:textId="77777777" w:rsidR="00CC198C" w:rsidRDefault="00000000">
            <w:pPr>
              <w:keepNext/>
              <w:keepLines/>
              <w:spacing w:after="0" w:line="240" w:lineRule="auto"/>
              <w:jc w:val="right"/>
            </w:pPr>
            <w:r>
              <w:rPr>
                <w:b/>
                <w:sz w:val="18"/>
              </w:rPr>
              <w:t>107.671,98</w:t>
            </w:r>
          </w:p>
        </w:tc>
        <w:tc>
          <w:tcPr>
            <w:tcW w:w="700" w:type="dxa"/>
            <w:tcMar>
              <w:top w:w="0" w:type="dxa"/>
              <w:bottom w:w="0" w:type="dxa"/>
            </w:tcMar>
            <w:vAlign w:val="center"/>
          </w:tcPr>
          <w:p w14:paraId="099475E5" w14:textId="77777777" w:rsidR="00CC198C" w:rsidRDefault="00000000">
            <w:pPr>
              <w:keepNext/>
              <w:keepLines/>
              <w:spacing w:after="0" w:line="240" w:lineRule="auto"/>
              <w:jc w:val="right"/>
            </w:pPr>
            <w:r>
              <w:rPr>
                <w:b/>
                <w:sz w:val="18"/>
              </w:rPr>
              <w:t>51,7</w:t>
            </w:r>
          </w:p>
        </w:tc>
      </w:tr>
    </w:tbl>
    <w:p w14:paraId="621413A9" w14:textId="77777777" w:rsidR="00CC198C" w:rsidRDefault="00CC198C">
      <w:pPr>
        <w:spacing w:after="0"/>
      </w:pPr>
    </w:p>
    <w:p w14:paraId="37432458" w14:textId="77777777" w:rsidR="00CC198C" w:rsidRDefault="00000000">
      <w:r>
        <w:t xml:space="preserve">U konsolidiranom izvještaju o prihodima i rashodima, primicima i izdacima iskazani su ukupno ostvareni prihodi i rashodi, primici i izdaci na razini grupe (Proračunski korisnik dječji vrtić Košutica Ferdinandovac i Općina Ferdinandovac zajedno) po pojedinim pozicijama izvještaja na način da su prvo zbrojene iste pozicije iz pojedinačnih izvještaja, usklađeni iznosi na računima koji ulaze u proces konsolidacije te izvršene eliminacije u iznosu 269.942,13 € unutar pojedinih pozicija. Eliminirani su prihodi koje je proračunski </w:t>
      </w:r>
      <w:r>
        <w:lastRenderedPageBreak/>
        <w:t>korisnik Dječji vrtić Košutica Ferdinandovac dobio od Općine Ferdinandovac  iskazani na računu podskupine računa 671 Prihodi iz nadležnog proračuna za financiranje redovne djelatnosti proračunskih korisnika proračuna te  rashodi na podskupini računa 367 Prijenosi proračunskim korisnicima iz nadležnog proračuna za financiranje redovne djelatnosti.</w:t>
      </w:r>
    </w:p>
    <w:p w14:paraId="25D617AA" w14:textId="77777777" w:rsidR="00CC198C" w:rsidRDefault="00000000">
      <w:r>
        <w:t>Prihodi poslovanja u ovom izvještajnim razdoblju su veći za 18,8% u odnosu na prošlogodišnje izvještajno razdoblje iz razloga što je radi povećanja minimalne plaće veća uplata poreza na dohodak. Tokom cijele godine se provodio projekat Brižne ruke podravske pa je veći prihod od nositelja projekta. U ovom izvještajnom razdoblju bilo je više djece iz okolnih mjesta koja plaćaju punu ekonomsku cijenu koja je krajem godine porasla stoga su značajno povećani prihodi za smještaj. Veće su kapitalne pomoći za realizirane projekte. Najznačajnije je povećanje šumskog doprinosa radi velike količine rušenja na našem području. </w:t>
      </w:r>
    </w:p>
    <w:p w14:paraId="2156AA7A" w14:textId="77777777" w:rsidR="00CC198C" w:rsidRDefault="00000000">
      <w:r>
        <w:t> Rashodi poslovanja u ovom izvještajnom razdoblju su veći za 16,8% u odnosu na prošlogodišnje izvještajno razdoblje budući da je došlo do povećanja osnovice za obračun plaće pa su veći rashodi bruto plaća i obveznih doprinosa, veći je prijenos sredstava proračunskom korisniku dječjem vrtiću Košutica Ferdinandovac radi većih rashoda koje je uzrokovalo veći broj upisane djece nego prethodnih godina.</w:t>
      </w:r>
    </w:p>
    <w:p w14:paraId="1DEC9B76" w14:textId="77777777" w:rsidR="00AD5AE0" w:rsidRDefault="00000000" w:rsidP="00AD5AE0">
      <w:r>
        <w:t>Tokom ovog izvještajnog razdoblja ostvaren je manjak prihoda i primitaka u iznosu 107.671,98 €, preneseni višak prihoda i primitaka iz prethodne godine iznosi 76.470,72 € iz čega proizlazi manjak prihoda i primitaka za pokriće u slijedećem razdoblju u iznosu 31.201,26 €.</w:t>
      </w:r>
    </w:p>
    <w:p w14:paraId="4B799C68" w14:textId="77777777" w:rsidR="00AD5AE0" w:rsidRDefault="00AD5AE0" w:rsidP="00AD5AE0"/>
    <w:p w14:paraId="13FBF170" w14:textId="1914BBE9" w:rsidR="00CC198C" w:rsidRDefault="00000000" w:rsidP="00AD5AE0">
      <w:pPr>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EBC1A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A2350"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D994CB"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E1CB2"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F9031"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B4BC5"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367F3D" w14:textId="77777777" w:rsidR="00CC198C" w:rsidRDefault="00000000">
            <w:pPr>
              <w:keepNext/>
              <w:keepLines/>
              <w:spacing w:after="0" w:line="240" w:lineRule="auto"/>
              <w:jc w:val="center"/>
            </w:pPr>
            <w:r>
              <w:rPr>
                <w:b/>
                <w:sz w:val="18"/>
              </w:rPr>
              <w:t>Indeks (%)</w:t>
            </w:r>
          </w:p>
        </w:tc>
      </w:tr>
      <w:tr w:rsidR="00CC198C" w14:paraId="3919FA0F" w14:textId="77777777">
        <w:tblPrEx>
          <w:tblCellMar>
            <w:top w:w="0" w:type="dxa"/>
            <w:bottom w:w="0" w:type="dxa"/>
          </w:tblCellMar>
        </w:tblPrEx>
        <w:trPr>
          <w:cantSplit/>
          <w:trHeight w:val="560"/>
        </w:trPr>
        <w:tc>
          <w:tcPr>
            <w:tcW w:w="700" w:type="dxa"/>
            <w:tcMar>
              <w:top w:w="0" w:type="dxa"/>
              <w:bottom w:w="0" w:type="dxa"/>
            </w:tcMar>
            <w:vAlign w:val="center"/>
          </w:tcPr>
          <w:p w14:paraId="4147BE4D" w14:textId="77777777" w:rsidR="00CC198C" w:rsidRDefault="00000000">
            <w:pPr>
              <w:keepNext/>
              <w:keepLines/>
              <w:spacing w:after="0" w:line="240" w:lineRule="auto"/>
            </w:pPr>
            <w:r>
              <w:rPr>
                <w:sz w:val="18"/>
              </w:rPr>
              <w:t>61</w:t>
            </w:r>
          </w:p>
        </w:tc>
        <w:tc>
          <w:tcPr>
            <w:tcW w:w="3180" w:type="dxa"/>
            <w:tcMar>
              <w:top w:w="0" w:type="dxa"/>
              <w:bottom w:w="0" w:type="dxa"/>
            </w:tcMar>
            <w:vAlign w:val="center"/>
          </w:tcPr>
          <w:p w14:paraId="785C5A86" w14:textId="77777777" w:rsidR="00CC198C"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0A09BC9F" w14:textId="77777777" w:rsidR="00CC198C" w:rsidRDefault="00000000">
            <w:pPr>
              <w:keepNext/>
              <w:keepLines/>
              <w:spacing w:after="0" w:line="240" w:lineRule="auto"/>
            </w:pPr>
            <w:r>
              <w:rPr>
                <w:sz w:val="18"/>
              </w:rPr>
              <w:t>61</w:t>
            </w:r>
          </w:p>
        </w:tc>
        <w:tc>
          <w:tcPr>
            <w:tcW w:w="1860" w:type="dxa"/>
            <w:tcMar>
              <w:top w:w="0" w:type="dxa"/>
              <w:bottom w:w="0" w:type="dxa"/>
            </w:tcMar>
            <w:vAlign w:val="center"/>
          </w:tcPr>
          <w:p w14:paraId="3295CFA4" w14:textId="77777777" w:rsidR="00CC198C" w:rsidRDefault="00000000">
            <w:pPr>
              <w:keepNext/>
              <w:keepLines/>
              <w:spacing w:after="0" w:line="240" w:lineRule="auto"/>
              <w:jc w:val="right"/>
            </w:pPr>
            <w:r>
              <w:rPr>
                <w:sz w:val="18"/>
              </w:rPr>
              <w:t>343.078,42</w:t>
            </w:r>
          </w:p>
        </w:tc>
        <w:tc>
          <w:tcPr>
            <w:tcW w:w="1860" w:type="dxa"/>
            <w:tcMar>
              <w:top w:w="0" w:type="dxa"/>
              <w:bottom w:w="0" w:type="dxa"/>
            </w:tcMar>
            <w:vAlign w:val="center"/>
          </w:tcPr>
          <w:p w14:paraId="384BA30A" w14:textId="77777777" w:rsidR="00CC198C" w:rsidRDefault="00000000">
            <w:pPr>
              <w:keepNext/>
              <w:keepLines/>
              <w:spacing w:after="0" w:line="240" w:lineRule="auto"/>
              <w:jc w:val="right"/>
            </w:pPr>
            <w:r>
              <w:rPr>
                <w:sz w:val="18"/>
              </w:rPr>
              <w:t>387.786,54</w:t>
            </w:r>
          </w:p>
        </w:tc>
        <w:tc>
          <w:tcPr>
            <w:tcW w:w="700" w:type="dxa"/>
            <w:tcMar>
              <w:top w:w="0" w:type="dxa"/>
              <w:bottom w:w="0" w:type="dxa"/>
            </w:tcMar>
            <w:vAlign w:val="center"/>
          </w:tcPr>
          <w:p w14:paraId="48BA9604" w14:textId="77777777" w:rsidR="00CC198C" w:rsidRDefault="00000000">
            <w:pPr>
              <w:keepNext/>
              <w:keepLines/>
              <w:spacing w:after="0" w:line="240" w:lineRule="auto"/>
              <w:jc w:val="right"/>
            </w:pPr>
            <w:r>
              <w:rPr>
                <w:sz w:val="18"/>
              </w:rPr>
              <w:t>113,0</w:t>
            </w:r>
          </w:p>
        </w:tc>
      </w:tr>
    </w:tbl>
    <w:p w14:paraId="349AECCA" w14:textId="77777777" w:rsidR="00CC198C" w:rsidRDefault="00CC198C">
      <w:pPr>
        <w:spacing w:after="0"/>
      </w:pPr>
    </w:p>
    <w:p w14:paraId="367AC4F8" w14:textId="77777777" w:rsidR="00CC198C" w:rsidRDefault="00000000">
      <w:r>
        <w:t>Povećanje je prihoda poreza na dohodak od nesamostalnog rada radi povećanja minimalne plaće i  radi poreza na nekretnine koji se tek u ovom izvještajnom razdoblju počeo naplaćivati.</w:t>
      </w:r>
    </w:p>
    <w:p w14:paraId="66FF1FC8" w14:textId="77777777" w:rsidR="00AD5AE0" w:rsidRDefault="00AD5AE0"/>
    <w:p w14:paraId="6A49FF7D" w14:textId="1372158E" w:rsidR="00CC198C" w:rsidRDefault="00000000" w:rsidP="00AD5AE0">
      <w:pPr>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297956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DB5AA4"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312591"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AD2F0"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B21EB"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12CC8"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2FCA87" w14:textId="77777777" w:rsidR="00CC198C" w:rsidRDefault="00000000">
            <w:pPr>
              <w:keepNext/>
              <w:keepLines/>
              <w:spacing w:after="0" w:line="240" w:lineRule="auto"/>
              <w:jc w:val="center"/>
            </w:pPr>
            <w:r>
              <w:rPr>
                <w:b/>
                <w:sz w:val="18"/>
              </w:rPr>
              <w:t>Indeks (%)</w:t>
            </w:r>
          </w:p>
        </w:tc>
      </w:tr>
      <w:tr w:rsidR="00CC198C" w14:paraId="51DAD76A" w14:textId="77777777">
        <w:tblPrEx>
          <w:tblCellMar>
            <w:top w:w="0" w:type="dxa"/>
            <w:bottom w:w="0" w:type="dxa"/>
          </w:tblCellMar>
        </w:tblPrEx>
        <w:trPr>
          <w:cantSplit/>
          <w:trHeight w:val="560"/>
        </w:trPr>
        <w:tc>
          <w:tcPr>
            <w:tcW w:w="700" w:type="dxa"/>
            <w:tcMar>
              <w:top w:w="0" w:type="dxa"/>
              <w:bottom w:w="0" w:type="dxa"/>
            </w:tcMar>
            <w:vAlign w:val="center"/>
          </w:tcPr>
          <w:p w14:paraId="2EFE8563" w14:textId="77777777" w:rsidR="00CC198C" w:rsidRDefault="00000000">
            <w:pPr>
              <w:keepNext/>
              <w:keepLines/>
              <w:spacing w:after="0" w:line="240" w:lineRule="auto"/>
            </w:pPr>
            <w:r>
              <w:rPr>
                <w:sz w:val="18"/>
              </w:rPr>
              <w:t>63</w:t>
            </w:r>
          </w:p>
        </w:tc>
        <w:tc>
          <w:tcPr>
            <w:tcW w:w="3180" w:type="dxa"/>
            <w:tcMar>
              <w:top w:w="0" w:type="dxa"/>
              <w:bottom w:w="0" w:type="dxa"/>
            </w:tcMar>
            <w:vAlign w:val="center"/>
          </w:tcPr>
          <w:p w14:paraId="754FE155" w14:textId="77777777" w:rsidR="00CC198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48466D4" w14:textId="77777777" w:rsidR="00CC198C" w:rsidRDefault="00000000">
            <w:pPr>
              <w:keepNext/>
              <w:keepLines/>
              <w:spacing w:after="0" w:line="240" w:lineRule="auto"/>
            </w:pPr>
            <w:r>
              <w:rPr>
                <w:sz w:val="18"/>
              </w:rPr>
              <w:t>63</w:t>
            </w:r>
          </w:p>
        </w:tc>
        <w:tc>
          <w:tcPr>
            <w:tcW w:w="1860" w:type="dxa"/>
            <w:tcMar>
              <w:top w:w="0" w:type="dxa"/>
              <w:bottom w:w="0" w:type="dxa"/>
            </w:tcMar>
            <w:vAlign w:val="center"/>
          </w:tcPr>
          <w:p w14:paraId="36698AB0" w14:textId="77777777" w:rsidR="00CC198C" w:rsidRDefault="00000000">
            <w:pPr>
              <w:keepNext/>
              <w:keepLines/>
              <w:spacing w:after="0" w:line="240" w:lineRule="auto"/>
              <w:jc w:val="right"/>
            </w:pPr>
            <w:r>
              <w:rPr>
                <w:sz w:val="18"/>
              </w:rPr>
              <w:t>668.270,01</w:t>
            </w:r>
          </w:p>
        </w:tc>
        <w:tc>
          <w:tcPr>
            <w:tcW w:w="1860" w:type="dxa"/>
            <w:tcMar>
              <w:top w:w="0" w:type="dxa"/>
              <w:bottom w:w="0" w:type="dxa"/>
            </w:tcMar>
            <w:vAlign w:val="center"/>
          </w:tcPr>
          <w:p w14:paraId="09FA5A35" w14:textId="77777777" w:rsidR="00CC198C" w:rsidRDefault="00000000">
            <w:pPr>
              <w:keepNext/>
              <w:keepLines/>
              <w:spacing w:after="0" w:line="240" w:lineRule="auto"/>
              <w:jc w:val="right"/>
            </w:pPr>
            <w:r>
              <w:rPr>
                <w:sz w:val="18"/>
              </w:rPr>
              <w:t>798.910,87</w:t>
            </w:r>
          </w:p>
        </w:tc>
        <w:tc>
          <w:tcPr>
            <w:tcW w:w="700" w:type="dxa"/>
            <w:tcMar>
              <w:top w:w="0" w:type="dxa"/>
              <w:bottom w:w="0" w:type="dxa"/>
            </w:tcMar>
            <w:vAlign w:val="center"/>
          </w:tcPr>
          <w:p w14:paraId="646355AE" w14:textId="77777777" w:rsidR="00CC198C" w:rsidRDefault="00000000">
            <w:pPr>
              <w:keepNext/>
              <w:keepLines/>
              <w:spacing w:after="0" w:line="240" w:lineRule="auto"/>
              <w:jc w:val="right"/>
            </w:pPr>
            <w:r>
              <w:rPr>
                <w:sz w:val="18"/>
              </w:rPr>
              <w:t>119,5</w:t>
            </w:r>
          </w:p>
        </w:tc>
      </w:tr>
    </w:tbl>
    <w:p w14:paraId="5386EA3A" w14:textId="77777777" w:rsidR="00CC198C" w:rsidRDefault="00CC198C">
      <w:pPr>
        <w:spacing w:after="0"/>
      </w:pPr>
    </w:p>
    <w:p w14:paraId="79D4A269" w14:textId="77777777" w:rsidR="00CC198C" w:rsidRDefault="00000000">
      <w:r>
        <w:lastRenderedPageBreak/>
        <w:t>Pomoći iz inozemstva i od subjekata unutar općeg proračuna su povećane radi kapitalnih pomoći za realizirane projekte, kao i za projekt Brižne ruke podravske koji se provodio tokom cijele godine. </w:t>
      </w:r>
    </w:p>
    <w:p w14:paraId="3986EB83" w14:textId="1AB19EE9" w:rsidR="00CC198C" w:rsidRDefault="00000000">
      <w:r>
        <w:t> </w:t>
      </w:r>
    </w:p>
    <w:p w14:paraId="0805CE4B" w14:textId="77777777" w:rsidR="00CC198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25E79C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C7D495"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3340F4"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FAEE7"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F59ABA"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3D9E00"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E323F6" w14:textId="77777777" w:rsidR="00CC198C" w:rsidRDefault="00000000">
            <w:pPr>
              <w:keepNext/>
              <w:keepLines/>
              <w:spacing w:after="0" w:line="240" w:lineRule="auto"/>
              <w:jc w:val="center"/>
            </w:pPr>
            <w:r>
              <w:rPr>
                <w:b/>
                <w:sz w:val="18"/>
              </w:rPr>
              <w:t>Indeks (%)</w:t>
            </w:r>
          </w:p>
        </w:tc>
      </w:tr>
      <w:tr w:rsidR="00CC198C" w14:paraId="19BDE629" w14:textId="77777777">
        <w:tblPrEx>
          <w:tblCellMar>
            <w:top w:w="0" w:type="dxa"/>
            <w:bottom w:w="0" w:type="dxa"/>
          </w:tblCellMar>
        </w:tblPrEx>
        <w:trPr>
          <w:cantSplit/>
          <w:trHeight w:val="560"/>
        </w:trPr>
        <w:tc>
          <w:tcPr>
            <w:tcW w:w="700" w:type="dxa"/>
            <w:tcMar>
              <w:top w:w="0" w:type="dxa"/>
              <w:bottom w:w="0" w:type="dxa"/>
            </w:tcMar>
            <w:vAlign w:val="center"/>
          </w:tcPr>
          <w:p w14:paraId="417A8881" w14:textId="77777777" w:rsidR="00CC198C" w:rsidRDefault="00000000">
            <w:pPr>
              <w:keepNext/>
              <w:keepLines/>
              <w:spacing w:after="0" w:line="240" w:lineRule="auto"/>
            </w:pPr>
            <w:r>
              <w:rPr>
                <w:sz w:val="18"/>
              </w:rPr>
              <w:t>64</w:t>
            </w:r>
          </w:p>
        </w:tc>
        <w:tc>
          <w:tcPr>
            <w:tcW w:w="3180" w:type="dxa"/>
            <w:tcMar>
              <w:top w:w="0" w:type="dxa"/>
              <w:bottom w:w="0" w:type="dxa"/>
            </w:tcMar>
            <w:vAlign w:val="center"/>
          </w:tcPr>
          <w:p w14:paraId="14D3A71D" w14:textId="77777777" w:rsidR="00CC198C"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6BECCBE" w14:textId="77777777" w:rsidR="00CC198C" w:rsidRDefault="00000000">
            <w:pPr>
              <w:keepNext/>
              <w:keepLines/>
              <w:spacing w:after="0" w:line="240" w:lineRule="auto"/>
            </w:pPr>
            <w:r>
              <w:rPr>
                <w:sz w:val="18"/>
              </w:rPr>
              <w:t>64</w:t>
            </w:r>
          </w:p>
        </w:tc>
        <w:tc>
          <w:tcPr>
            <w:tcW w:w="1860" w:type="dxa"/>
            <w:tcMar>
              <w:top w:w="0" w:type="dxa"/>
              <w:bottom w:w="0" w:type="dxa"/>
            </w:tcMar>
            <w:vAlign w:val="center"/>
          </w:tcPr>
          <w:p w14:paraId="30C15A42" w14:textId="77777777" w:rsidR="00CC198C" w:rsidRDefault="00000000">
            <w:pPr>
              <w:keepNext/>
              <w:keepLines/>
              <w:spacing w:after="0" w:line="240" w:lineRule="auto"/>
              <w:jc w:val="right"/>
            </w:pPr>
            <w:r>
              <w:rPr>
                <w:sz w:val="18"/>
              </w:rPr>
              <w:t>165.747,83</w:t>
            </w:r>
          </w:p>
        </w:tc>
        <w:tc>
          <w:tcPr>
            <w:tcW w:w="1860" w:type="dxa"/>
            <w:tcMar>
              <w:top w:w="0" w:type="dxa"/>
              <w:bottom w:w="0" w:type="dxa"/>
            </w:tcMar>
            <w:vAlign w:val="center"/>
          </w:tcPr>
          <w:p w14:paraId="04B06987" w14:textId="77777777" w:rsidR="00CC198C" w:rsidRDefault="00000000">
            <w:pPr>
              <w:keepNext/>
              <w:keepLines/>
              <w:spacing w:after="0" w:line="240" w:lineRule="auto"/>
              <w:jc w:val="right"/>
            </w:pPr>
            <w:r>
              <w:rPr>
                <w:sz w:val="18"/>
              </w:rPr>
              <w:t>142.639,22</w:t>
            </w:r>
          </w:p>
        </w:tc>
        <w:tc>
          <w:tcPr>
            <w:tcW w:w="700" w:type="dxa"/>
            <w:tcMar>
              <w:top w:w="0" w:type="dxa"/>
              <w:bottom w:w="0" w:type="dxa"/>
            </w:tcMar>
            <w:vAlign w:val="center"/>
          </w:tcPr>
          <w:p w14:paraId="7ECD0175" w14:textId="77777777" w:rsidR="00CC198C" w:rsidRDefault="00000000">
            <w:pPr>
              <w:keepNext/>
              <w:keepLines/>
              <w:spacing w:after="0" w:line="240" w:lineRule="auto"/>
              <w:jc w:val="right"/>
            </w:pPr>
            <w:r>
              <w:rPr>
                <w:sz w:val="18"/>
              </w:rPr>
              <w:t>86,1</w:t>
            </w:r>
          </w:p>
        </w:tc>
      </w:tr>
    </w:tbl>
    <w:p w14:paraId="253361BA" w14:textId="77777777" w:rsidR="00CC198C" w:rsidRDefault="00CC198C">
      <w:pPr>
        <w:spacing w:after="0"/>
      </w:pPr>
    </w:p>
    <w:p w14:paraId="3F38E434" w14:textId="77777777" w:rsidR="00CC198C" w:rsidRDefault="00000000">
      <w:r>
        <w:t>Prihodi od imovine su smanjeni radi manje potražnje za iznajmljivanjem poslovnih objekata, a najviše radi smanjenja prihoda za eksploataciju mineralnih sirovina.</w:t>
      </w:r>
    </w:p>
    <w:p w14:paraId="3FFA06E2" w14:textId="2B2A1E92" w:rsidR="00CC198C" w:rsidRDefault="00000000">
      <w:r>
        <w:t> </w:t>
      </w:r>
    </w:p>
    <w:p w14:paraId="75E6F260" w14:textId="77777777" w:rsidR="00CC198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72C6F4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ED4AC1"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59ADF3"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7302F7"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5A6B4"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1933AB"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DFC64B" w14:textId="77777777" w:rsidR="00CC198C" w:rsidRDefault="00000000">
            <w:pPr>
              <w:keepNext/>
              <w:keepLines/>
              <w:spacing w:after="0" w:line="240" w:lineRule="auto"/>
              <w:jc w:val="center"/>
            </w:pPr>
            <w:r>
              <w:rPr>
                <w:b/>
                <w:sz w:val="18"/>
              </w:rPr>
              <w:t>Indeks (%)</w:t>
            </w:r>
          </w:p>
        </w:tc>
      </w:tr>
      <w:tr w:rsidR="00CC198C" w14:paraId="7466C5D5" w14:textId="77777777">
        <w:tblPrEx>
          <w:tblCellMar>
            <w:top w:w="0" w:type="dxa"/>
            <w:bottom w:w="0" w:type="dxa"/>
          </w:tblCellMar>
        </w:tblPrEx>
        <w:trPr>
          <w:cantSplit/>
          <w:trHeight w:val="560"/>
        </w:trPr>
        <w:tc>
          <w:tcPr>
            <w:tcW w:w="700" w:type="dxa"/>
            <w:tcMar>
              <w:top w:w="0" w:type="dxa"/>
              <w:bottom w:w="0" w:type="dxa"/>
            </w:tcMar>
            <w:vAlign w:val="center"/>
          </w:tcPr>
          <w:p w14:paraId="559722A3" w14:textId="77777777" w:rsidR="00CC198C" w:rsidRDefault="00000000">
            <w:pPr>
              <w:keepNext/>
              <w:keepLines/>
              <w:spacing w:after="0" w:line="240" w:lineRule="auto"/>
            </w:pPr>
            <w:r>
              <w:rPr>
                <w:sz w:val="18"/>
              </w:rPr>
              <w:t>65</w:t>
            </w:r>
          </w:p>
        </w:tc>
        <w:tc>
          <w:tcPr>
            <w:tcW w:w="3180" w:type="dxa"/>
            <w:tcMar>
              <w:top w:w="0" w:type="dxa"/>
              <w:bottom w:w="0" w:type="dxa"/>
            </w:tcMar>
            <w:vAlign w:val="center"/>
          </w:tcPr>
          <w:p w14:paraId="22189A03" w14:textId="77777777" w:rsidR="00CC198C"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4D933EB" w14:textId="77777777" w:rsidR="00CC198C" w:rsidRDefault="00000000">
            <w:pPr>
              <w:keepNext/>
              <w:keepLines/>
              <w:spacing w:after="0" w:line="240" w:lineRule="auto"/>
            </w:pPr>
            <w:r>
              <w:rPr>
                <w:sz w:val="18"/>
              </w:rPr>
              <w:t>65</w:t>
            </w:r>
          </w:p>
        </w:tc>
        <w:tc>
          <w:tcPr>
            <w:tcW w:w="1860" w:type="dxa"/>
            <w:tcMar>
              <w:top w:w="0" w:type="dxa"/>
              <w:bottom w:w="0" w:type="dxa"/>
            </w:tcMar>
            <w:vAlign w:val="center"/>
          </w:tcPr>
          <w:p w14:paraId="3BA97525" w14:textId="77777777" w:rsidR="00CC198C" w:rsidRDefault="00000000">
            <w:pPr>
              <w:keepNext/>
              <w:keepLines/>
              <w:spacing w:after="0" w:line="240" w:lineRule="auto"/>
              <w:jc w:val="right"/>
            </w:pPr>
            <w:r>
              <w:rPr>
                <w:sz w:val="18"/>
              </w:rPr>
              <w:t>109.651,91</w:t>
            </w:r>
          </w:p>
        </w:tc>
        <w:tc>
          <w:tcPr>
            <w:tcW w:w="1860" w:type="dxa"/>
            <w:tcMar>
              <w:top w:w="0" w:type="dxa"/>
              <w:bottom w:w="0" w:type="dxa"/>
            </w:tcMar>
            <w:vAlign w:val="center"/>
          </w:tcPr>
          <w:p w14:paraId="6EFFDDD0" w14:textId="77777777" w:rsidR="00CC198C" w:rsidRDefault="00000000">
            <w:pPr>
              <w:keepNext/>
              <w:keepLines/>
              <w:spacing w:after="0" w:line="240" w:lineRule="auto"/>
              <w:jc w:val="right"/>
            </w:pPr>
            <w:r>
              <w:rPr>
                <w:sz w:val="18"/>
              </w:rPr>
              <w:t>199.910,15</w:t>
            </w:r>
          </w:p>
        </w:tc>
        <w:tc>
          <w:tcPr>
            <w:tcW w:w="700" w:type="dxa"/>
            <w:tcMar>
              <w:top w:w="0" w:type="dxa"/>
              <w:bottom w:w="0" w:type="dxa"/>
            </w:tcMar>
            <w:vAlign w:val="center"/>
          </w:tcPr>
          <w:p w14:paraId="68ED5871" w14:textId="77777777" w:rsidR="00CC198C" w:rsidRDefault="00000000">
            <w:pPr>
              <w:keepNext/>
              <w:keepLines/>
              <w:spacing w:after="0" w:line="240" w:lineRule="auto"/>
              <w:jc w:val="right"/>
            </w:pPr>
            <w:r>
              <w:rPr>
                <w:sz w:val="18"/>
              </w:rPr>
              <w:t>182,3</w:t>
            </w:r>
          </w:p>
        </w:tc>
      </w:tr>
    </w:tbl>
    <w:p w14:paraId="25C073F7" w14:textId="77777777" w:rsidR="00CC198C" w:rsidRDefault="00CC198C">
      <w:pPr>
        <w:spacing w:after="0"/>
      </w:pPr>
    </w:p>
    <w:p w14:paraId="632DA0AC" w14:textId="77777777" w:rsidR="00CC198C" w:rsidRDefault="00000000">
      <w:r>
        <w:t>Prihodi od upravnih i administrativnih pristojbi, pristojbi po posebnim propisima i naknada su povećani radi prihoda koji se odnose na šumski doprinos, smještaj u dječjem vrtiću radi većeg broja upisane djece i porasta ekonomske cijene.</w:t>
      </w:r>
    </w:p>
    <w:p w14:paraId="23CB0B32" w14:textId="09E39D49" w:rsidR="00CC198C" w:rsidRDefault="00000000">
      <w:r>
        <w:t> </w:t>
      </w:r>
    </w:p>
    <w:p w14:paraId="3F7937E9" w14:textId="77777777" w:rsidR="00CC198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7F209C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62A8B5"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EEF108"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1B279"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489B74"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80A6A1"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854122" w14:textId="77777777" w:rsidR="00CC198C" w:rsidRDefault="00000000">
            <w:pPr>
              <w:keepNext/>
              <w:keepLines/>
              <w:spacing w:after="0" w:line="240" w:lineRule="auto"/>
              <w:jc w:val="center"/>
            </w:pPr>
            <w:r>
              <w:rPr>
                <w:b/>
                <w:sz w:val="18"/>
              </w:rPr>
              <w:t>Indeks (%)</w:t>
            </w:r>
          </w:p>
        </w:tc>
      </w:tr>
      <w:tr w:rsidR="00CC198C" w14:paraId="09A83792" w14:textId="77777777">
        <w:tblPrEx>
          <w:tblCellMar>
            <w:top w:w="0" w:type="dxa"/>
            <w:bottom w:w="0" w:type="dxa"/>
          </w:tblCellMar>
        </w:tblPrEx>
        <w:trPr>
          <w:cantSplit/>
          <w:trHeight w:val="560"/>
        </w:trPr>
        <w:tc>
          <w:tcPr>
            <w:tcW w:w="700" w:type="dxa"/>
            <w:tcMar>
              <w:top w:w="0" w:type="dxa"/>
              <w:bottom w:w="0" w:type="dxa"/>
            </w:tcMar>
            <w:vAlign w:val="center"/>
          </w:tcPr>
          <w:p w14:paraId="2124A553" w14:textId="77777777" w:rsidR="00CC198C" w:rsidRDefault="00000000">
            <w:pPr>
              <w:keepNext/>
              <w:keepLines/>
              <w:spacing w:after="0" w:line="240" w:lineRule="auto"/>
            </w:pPr>
            <w:r>
              <w:rPr>
                <w:sz w:val="18"/>
              </w:rPr>
              <w:t>31</w:t>
            </w:r>
          </w:p>
        </w:tc>
        <w:tc>
          <w:tcPr>
            <w:tcW w:w="3180" w:type="dxa"/>
            <w:tcMar>
              <w:top w:w="0" w:type="dxa"/>
              <w:bottom w:w="0" w:type="dxa"/>
            </w:tcMar>
            <w:vAlign w:val="center"/>
          </w:tcPr>
          <w:p w14:paraId="15E731DA" w14:textId="77777777" w:rsidR="00CC198C"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17043B9" w14:textId="77777777" w:rsidR="00CC198C" w:rsidRDefault="00000000">
            <w:pPr>
              <w:keepNext/>
              <w:keepLines/>
              <w:spacing w:after="0" w:line="240" w:lineRule="auto"/>
            </w:pPr>
            <w:r>
              <w:rPr>
                <w:sz w:val="18"/>
              </w:rPr>
              <w:t>31</w:t>
            </w:r>
          </w:p>
        </w:tc>
        <w:tc>
          <w:tcPr>
            <w:tcW w:w="1860" w:type="dxa"/>
            <w:tcMar>
              <w:top w:w="0" w:type="dxa"/>
              <w:bottom w:w="0" w:type="dxa"/>
            </w:tcMar>
            <w:vAlign w:val="center"/>
          </w:tcPr>
          <w:p w14:paraId="2AE2EDA5" w14:textId="77777777" w:rsidR="00CC198C" w:rsidRDefault="00000000">
            <w:pPr>
              <w:keepNext/>
              <w:keepLines/>
              <w:spacing w:after="0" w:line="240" w:lineRule="auto"/>
              <w:jc w:val="right"/>
            </w:pPr>
            <w:r>
              <w:rPr>
                <w:sz w:val="18"/>
              </w:rPr>
              <w:t>403.862,67</w:t>
            </w:r>
          </w:p>
        </w:tc>
        <w:tc>
          <w:tcPr>
            <w:tcW w:w="1860" w:type="dxa"/>
            <w:tcMar>
              <w:top w:w="0" w:type="dxa"/>
              <w:bottom w:w="0" w:type="dxa"/>
            </w:tcMar>
            <w:vAlign w:val="center"/>
          </w:tcPr>
          <w:p w14:paraId="5EC399D2" w14:textId="77777777" w:rsidR="00CC198C" w:rsidRDefault="00000000">
            <w:pPr>
              <w:keepNext/>
              <w:keepLines/>
              <w:spacing w:after="0" w:line="240" w:lineRule="auto"/>
              <w:jc w:val="right"/>
            </w:pPr>
            <w:r>
              <w:rPr>
                <w:sz w:val="18"/>
              </w:rPr>
              <w:t>558.914,49</w:t>
            </w:r>
          </w:p>
        </w:tc>
        <w:tc>
          <w:tcPr>
            <w:tcW w:w="700" w:type="dxa"/>
            <w:tcMar>
              <w:top w:w="0" w:type="dxa"/>
              <w:bottom w:w="0" w:type="dxa"/>
            </w:tcMar>
            <w:vAlign w:val="center"/>
          </w:tcPr>
          <w:p w14:paraId="10F1070D" w14:textId="77777777" w:rsidR="00CC198C" w:rsidRDefault="00000000">
            <w:pPr>
              <w:keepNext/>
              <w:keepLines/>
              <w:spacing w:after="0" w:line="240" w:lineRule="auto"/>
              <w:jc w:val="right"/>
            </w:pPr>
            <w:r>
              <w:rPr>
                <w:sz w:val="18"/>
              </w:rPr>
              <w:t>138,4</w:t>
            </w:r>
          </w:p>
        </w:tc>
      </w:tr>
    </w:tbl>
    <w:p w14:paraId="15689836" w14:textId="77777777" w:rsidR="00CC198C" w:rsidRDefault="00CC198C">
      <w:pPr>
        <w:spacing w:after="0"/>
      </w:pPr>
    </w:p>
    <w:p w14:paraId="68A3FD9F" w14:textId="77777777" w:rsidR="00CC198C" w:rsidRDefault="00000000">
      <w:r>
        <w:t>Rashodi za zaposlene su veći radi povećanja osnovice za obračun plaća i većeg broja zaposlenih radi zamjena za dugotrajna bolovanja.</w:t>
      </w:r>
    </w:p>
    <w:p w14:paraId="7645AAD4" w14:textId="77777777" w:rsidR="00CC198C" w:rsidRDefault="00CC198C"/>
    <w:p w14:paraId="69B780B2" w14:textId="77777777" w:rsidR="00CC198C"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3A64C8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D12C44"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9C135B"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9F5E0E"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E80A50"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E086FE"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A76F47" w14:textId="77777777" w:rsidR="00CC198C" w:rsidRDefault="00000000">
            <w:pPr>
              <w:keepNext/>
              <w:keepLines/>
              <w:spacing w:after="0" w:line="240" w:lineRule="auto"/>
              <w:jc w:val="center"/>
            </w:pPr>
            <w:r>
              <w:rPr>
                <w:b/>
                <w:sz w:val="18"/>
              </w:rPr>
              <w:t>Indeks (%)</w:t>
            </w:r>
          </w:p>
        </w:tc>
      </w:tr>
      <w:tr w:rsidR="00CC198C" w14:paraId="5D6018BC" w14:textId="77777777">
        <w:tblPrEx>
          <w:tblCellMar>
            <w:top w:w="0" w:type="dxa"/>
            <w:bottom w:w="0" w:type="dxa"/>
          </w:tblCellMar>
        </w:tblPrEx>
        <w:trPr>
          <w:cantSplit/>
          <w:trHeight w:val="560"/>
        </w:trPr>
        <w:tc>
          <w:tcPr>
            <w:tcW w:w="700" w:type="dxa"/>
            <w:tcMar>
              <w:top w:w="0" w:type="dxa"/>
              <w:bottom w:w="0" w:type="dxa"/>
            </w:tcMar>
            <w:vAlign w:val="center"/>
          </w:tcPr>
          <w:p w14:paraId="4773F63B" w14:textId="77777777" w:rsidR="00CC198C" w:rsidRDefault="00000000">
            <w:pPr>
              <w:keepNext/>
              <w:keepLines/>
              <w:spacing w:after="0" w:line="240" w:lineRule="auto"/>
            </w:pPr>
            <w:r>
              <w:rPr>
                <w:sz w:val="18"/>
              </w:rPr>
              <w:t>32</w:t>
            </w:r>
          </w:p>
        </w:tc>
        <w:tc>
          <w:tcPr>
            <w:tcW w:w="3180" w:type="dxa"/>
            <w:tcMar>
              <w:top w:w="0" w:type="dxa"/>
              <w:bottom w:w="0" w:type="dxa"/>
            </w:tcMar>
            <w:vAlign w:val="center"/>
          </w:tcPr>
          <w:p w14:paraId="46BA1DA9" w14:textId="77777777" w:rsidR="00CC198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6D10A945" w14:textId="77777777" w:rsidR="00CC198C" w:rsidRDefault="00000000">
            <w:pPr>
              <w:keepNext/>
              <w:keepLines/>
              <w:spacing w:after="0" w:line="240" w:lineRule="auto"/>
            </w:pPr>
            <w:r>
              <w:rPr>
                <w:sz w:val="18"/>
              </w:rPr>
              <w:t>32</w:t>
            </w:r>
          </w:p>
        </w:tc>
        <w:tc>
          <w:tcPr>
            <w:tcW w:w="1860" w:type="dxa"/>
            <w:tcMar>
              <w:top w:w="0" w:type="dxa"/>
              <w:bottom w:w="0" w:type="dxa"/>
            </w:tcMar>
            <w:vAlign w:val="center"/>
          </w:tcPr>
          <w:p w14:paraId="333AA3D8" w14:textId="77777777" w:rsidR="00CC198C" w:rsidRDefault="00000000">
            <w:pPr>
              <w:keepNext/>
              <w:keepLines/>
              <w:spacing w:after="0" w:line="240" w:lineRule="auto"/>
              <w:jc w:val="right"/>
            </w:pPr>
            <w:r>
              <w:rPr>
                <w:sz w:val="18"/>
              </w:rPr>
              <w:t>374.662,45</w:t>
            </w:r>
          </w:p>
        </w:tc>
        <w:tc>
          <w:tcPr>
            <w:tcW w:w="1860" w:type="dxa"/>
            <w:tcMar>
              <w:top w:w="0" w:type="dxa"/>
              <w:bottom w:w="0" w:type="dxa"/>
            </w:tcMar>
            <w:vAlign w:val="center"/>
          </w:tcPr>
          <w:p w14:paraId="6BAC5EF9" w14:textId="77777777" w:rsidR="00CC198C" w:rsidRDefault="00000000">
            <w:pPr>
              <w:keepNext/>
              <w:keepLines/>
              <w:spacing w:after="0" w:line="240" w:lineRule="auto"/>
              <w:jc w:val="right"/>
            </w:pPr>
            <w:r>
              <w:rPr>
                <w:sz w:val="18"/>
              </w:rPr>
              <w:t>348.088,67</w:t>
            </w:r>
          </w:p>
        </w:tc>
        <w:tc>
          <w:tcPr>
            <w:tcW w:w="700" w:type="dxa"/>
            <w:tcMar>
              <w:top w:w="0" w:type="dxa"/>
              <w:bottom w:w="0" w:type="dxa"/>
            </w:tcMar>
            <w:vAlign w:val="center"/>
          </w:tcPr>
          <w:p w14:paraId="4EC45790" w14:textId="77777777" w:rsidR="00CC198C" w:rsidRDefault="00000000">
            <w:pPr>
              <w:keepNext/>
              <w:keepLines/>
              <w:spacing w:after="0" w:line="240" w:lineRule="auto"/>
              <w:jc w:val="right"/>
            </w:pPr>
            <w:r>
              <w:rPr>
                <w:sz w:val="18"/>
              </w:rPr>
              <w:t>92,9</w:t>
            </w:r>
          </w:p>
        </w:tc>
      </w:tr>
    </w:tbl>
    <w:p w14:paraId="4AA1D3F1" w14:textId="77777777" w:rsidR="00CC198C" w:rsidRDefault="00CC198C">
      <w:pPr>
        <w:spacing w:after="0"/>
      </w:pPr>
    </w:p>
    <w:p w14:paraId="3D4C90C1" w14:textId="77777777" w:rsidR="00CC198C" w:rsidRDefault="00000000">
      <w:r>
        <w:t>Manja je nabava materijala za tekuće održavanje postrojenja, opreme i građevinskih objekata, te sitnog inventara.</w:t>
      </w:r>
    </w:p>
    <w:p w14:paraId="2F5FAB8D" w14:textId="77777777" w:rsidR="00AD5AE0" w:rsidRDefault="00AD5AE0"/>
    <w:p w14:paraId="4279754A" w14:textId="77777777" w:rsidR="00CC198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7E216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956EA6"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C2BD2F"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E0769C"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323E6"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F517AD"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9A41FA" w14:textId="77777777" w:rsidR="00CC198C" w:rsidRDefault="00000000">
            <w:pPr>
              <w:keepNext/>
              <w:keepLines/>
              <w:spacing w:after="0" w:line="240" w:lineRule="auto"/>
              <w:jc w:val="center"/>
            </w:pPr>
            <w:r>
              <w:rPr>
                <w:b/>
                <w:sz w:val="18"/>
              </w:rPr>
              <w:t>Indeks (%)</w:t>
            </w:r>
          </w:p>
        </w:tc>
      </w:tr>
      <w:tr w:rsidR="00CC198C" w14:paraId="3C14F714" w14:textId="77777777">
        <w:tblPrEx>
          <w:tblCellMar>
            <w:top w:w="0" w:type="dxa"/>
            <w:bottom w:w="0" w:type="dxa"/>
          </w:tblCellMar>
        </w:tblPrEx>
        <w:trPr>
          <w:cantSplit/>
          <w:trHeight w:val="560"/>
        </w:trPr>
        <w:tc>
          <w:tcPr>
            <w:tcW w:w="700" w:type="dxa"/>
            <w:tcMar>
              <w:top w:w="0" w:type="dxa"/>
              <w:bottom w:w="0" w:type="dxa"/>
            </w:tcMar>
            <w:vAlign w:val="center"/>
          </w:tcPr>
          <w:p w14:paraId="67943703" w14:textId="77777777" w:rsidR="00CC198C" w:rsidRDefault="00000000">
            <w:pPr>
              <w:keepNext/>
              <w:keepLines/>
              <w:spacing w:after="0" w:line="240" w:lineRule="auto"/>
            </w:pPr>
            <w:r>
              <w:rPr>
                <w:sz w:val="18"/>
              </w:rPr>
              <w:t>323</w:t>
            </w:r>
          </w:p>
        </w:tc>
        <w:tc>
          <w:tcPr>
            <w:tcW w:w="3180" w:type="dxa"/>
            <w:tcMar>
              <w:top w:w="0" w:type="dxa"/>
              <w:bottom w:w="0" w:type="dxa"/>
            </w:tcMar>
            <w:vAlign w:val="center"/>
          </w:tcPr>
          <w:p w14:paraId="3C0F4B4D" w14:textId="77777777" w:rsidR="00CC198C"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1C8A150" w14:textId="77777777" w:rsidR="00CC198C" w:rsidRDefault="00000000">
            <w:pPr>
              <w:keepNext/>
              <w:keepLines/>
              <w:spacing w:after="0" w:line="240" w:lineRule="auto"/>
            </w:pPr>
            <w:r>
              <w:rPr>
                <w:sz w:val="18"/>
              </w:rPr>
              <w:t>323</w:t>
            </w:r>
          </w:p>
        </w:tc>
        <w:tc>
          <w:tcPr>
            <w:tcW w:w="1860" w:type="dxa"/>
            <w:tcMar>
              <w:top w:w="0" w:type="dxa"/>
              <w:bottom w:w="0" w:type="dxa"/>
            </w:tcMar>
            <w:vAlign w:val="center"/>
          </w:tcPr>
          <w:p w14:paraId="78E159D1" w14:textId="77777777" w:rsidR="00CC198C" w:rsidRDefault="00000000">
            <w:pPr>
              <w:keepNext/>
              <w:keepLines/>
              <w:spacing w:after="0" w:line="240" w:lineRule="auto"/>
              <w:jc w:val="right"/>
            </w:pPr>
            <w:r>
              <w:rPr>
                <w:sz w:val="18"/>
              </w:rPr>
              <w:t>219.451,48</w:t>
            </w:r>
          </w:p>
        </w:tc>
        <w:tc>
          <w:tcPr>
            <w:tcW w:w="1860" w:type="dxa"/>
            <w:tcMar>
              <w:top w:w="0" w:type="dxa"/>
              <w:bottom w:w="0" w:type="dxa"/>
            </w:tcMar>
            <w:vAlign w:val="center"/>
          </w:tcPr>
          <w:p w14:paraId="783FAC5F" w14:textId="77777777" w:rsidR="00CC198C" w:rsidRDefault="00000000">
            <w:pPr>
              <w:keepNext/>
              <w:keepLines/>
              <w:spacing w:after="0" w:line="240" w:lineRule="auto"/>
              <w:jc w:val="right"/>
            </w:pPr>
            <w:r>
              <w:rPr>
                <w:sz w:val="18"/>
              </w:rPr>
              <w:t>173.807,46</w:t>
            </w:r>
          </w:p>
        </w:tc>
        <w:tc>
          <w:tcPr>
            <w:tcW w:w="700" w:type="dxa"/>
            <w:tcMar>
              <w:top w:w="0" w:type="dxa"/>
              <w:bottom w:w="0" w:type="dxa"/>
            </w:tcMar>
            <w:vAlign w:val="center"/>
          </w:tcPr>
          <w:p w14:paraId="3DC4A5AF" w14:textId="77777777" w:rsidR="00CC198C" w:rsidRDefault="00000000">
            <w:pPr>
              <w:keepNext/>
              <w:keepLines/>
              <w:spacing w:after="0" w:line="240" w:lineRule="auto"/>
              <w:jc w:val="right"/>
            </w:pPr>
            <w:r>
              <w:rPr>
                <w:sz w:val="18"/>
              </w:rPr>
              <w:t>79,2</w:t>
            </w:r>
          </w:p>
        </w:tc>
      </w:tr>
    </w:tbl>
    <w:p w14:paraId="0B577F34" w14:textId="77777777" w:rsidR="00CC198C" w:rsidRDefault="00CC198C">
      <w:pPr>
        <w:spacing w:after="0"/>
      </w:pPr>
    </w:p>
    <w:p w14:paraId="36B7A590" w14:textId="77777777" w:rsidR="00CC198C" w:rsidRDefault="00000000">
      <w:r>
        <w:t>Rashodi za usluge su manji radi manjeg obima usluga tekućeg održavanja građevine i opreme.</w:t>
      </w:r>
    </w:p>
    <w:p w14:paraId="379DC963" w14:textId="77777777" w:rsidR="00AD5AE0" w:rsidRDefault="00AD5AE0">
      <w:pPr>
        <w:keepNext/>
        <w:spacing w:line="240" w:lineRule="auto"/>
        <w:jc w:val="center"/>
        <w:rPr>
          <w:sz w:val="28"/>
        </w:rPr>
      </w:pPr>
    </w:p>
    <w:p w14:paraId="38ADCF8E" w14:textId="37CC6725" w:rsidR="00CC198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2FD781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005DCA"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1AFB1A"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2003DD"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4112F2"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80A9B4"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FB256D" w14:textId="77777777" w:rsidR="00CC198C" w:rsidRDefault="00000000">
            <w:pPr>
              <w:keepNext/>
              <w:keepLines/>
              <w:spacing w:after="0" w:line="240" w:lineRule="auto"/>
              <w:jc w:val="center"/>
            </w:pPr>
            <w:r>
              <w:rPr>
                <w:b/>
                <w:sz w:val="18"/>
              </w:rPr>
              <w:t>Indeks (%)</w:t>
            </w:r>
          </w:p>
        </w:tc>
      </w:tr>
      <w:tr w:rsidR="00CC198C" w14:paraId="70FA6E13" w14:textId="77777777">
        <w:tblPrEx>
          <w:tblCellMar>
            <w:top w:w="0" w:type="dxa"/>
            <w:bottom w:w="0" w:type="dxa"/>
          </w:tblCellMar>
        </w:tblPrEx>
        <w:trPr>
          <w:cantSplit/>
          <w:trHeight w:val="560"/>
        </w:trPr>
        <w:tc>
          <w:tcPr>
            <w:tcW w:w="700" w:type="dxa"/>
            <w:tcMar>
              <w:top w:w="0" w:type="dxa"/>
              <w:bottom w:w="0" w:type="dxa"/>
            </w:tcMar>
            <w:vAlign w:val="center"/>
          </w:tcPr>
          <w:p w14:paraId="79926FA3" w14:textId="77777777" w:rsidR="00CC198C" w:rsidRDefault="00000000">
            <w:pPr>
              <w:keepNext/>
              <w:keepLines/>
              <w:spacing w:after="0" w:line="240" w:lineRule="auto"/>
            </w:pPr>
            <w:r>
              <w:rPr>
                <w:sz w:val="18"/>
              </w:rPr>
              <w:t>3291</w:t>
            </w:r>
          </w:p>
        </w:tc>
        <w:tc>
          <w:tcPr>
            <w:tcW w:w="3180" w:type="dxa"/>
            <w:tcMar>
              <w:top w:w="0" w:type="dxa"/>
              <w:bottom w:w="0" w:type="dxa"/>
            </w:tcMar>
            <w:vAlign w:val="center"/>
          </w:tcPr>
          <w:p w14:paraId="01D1C9DD" w14:textId="77777777" w:rsidR="00CC198C"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839CA52" w14:textId="77777777" w:rsidR="00CC198C" w:rsidRDefault="00000000">
            <w:pPr>
              <w:keepNext/>
              <w:keepLines/>
              <w:spacing w:after="0" w:line="240" w:lineRule="auto"/>
            </w:pPr>
            <w:r>
              <w:rPr>
                <w:sz w:val="18"/>
              </w:rPr>
              <w:t>3291</w:t>
            </w:r>
          </w:p>
        </w:tc>
        <w:tc>
          <w:tcPr>
            <w:tcW w:w="1860" w:type="dxa"/>
            <w:tcMar>
              <w:top w:w="0" w:type="dxa"/>
              <w:bottom w:w="0" w:type="dxa"/>
            </w:tcMar>
            <w:vAlign w:val="center"/>
          </w:tcPr>
          <w:p w14:paraId="0C139DFC" w14:textId="77777777" w:rsidR="00CC198C" w:rsidRDefault="00000000">
            <w:pPr>
              <w:keepNext/>
              <w:keepLines/>
              <w:spacing w:after="0" w:line="240" w:lineRule="auto"/>
              <w:jc w:val="right"/>
            </w:pPr>
            <w:r>
              <w:rPr>
                <w:sz w:val="18"/>
              </w:rPr>
              <w:t>5.954,37</w:t>
            </w:r>
          </w:p>
        </w:tc>
        <w:tc>
          <w:tcPr>
            <w:tcW w:w="1860" w:type="dxa"/>
            <w:tcMar>
              <w:top w:w="0" w:type="dxa"/>
              <w:bottom w:w="0" w:type="dxa"/>
            </w:tcMar>
            <w:vAlign w:val="center"/>
          </w:tcPr>
          <w:p w14:paraId="67A09021" w14:textId="77777777" w:rsidR="00CC198C" w:rsidRDefault="00000000">
            <w:pPr>
              <w:keepNext/>
              <w:keepLines/>
              <w:spacing w:after="0" w:line="240" w:lineRule="auto"/>
              <w:jc w:val="right"/>
            </w:pPr>
            <w:r>
              <w:rPr>
                <w:sz w:val="18"/>
              </w:rPr>
              <w:t>32.319,07</w:t>
            </w:r>
          </w:p>
        </w:tc>
        <w:tc>
          <w:tcPr>
            <w:tcW w:w="700" w:type="dxa"/>
            <w:tcMar>
              <w:top w:w="0" w:type="dxa"/>
              <w:bottom w:w="0" w:type="dxa"/>
            </w:tcMar>
            <w:vAlign w:val="center"/>
          </w:tcPr>
          <w:p w14:paraId="15C63C0D" w14:textId="77777777" w:rsidR="00CC198C" w:rsidRDefault="00000000">
            <w:pPr>
              <w:keepNext/>
              <w:keepLines/>
              <w:spacing w:after="0" w:line="240" w:lineRule="auto"/>
              <w:jc w:val="right"/>
            </w:pPr>
            <w:r>
              <w:rPr>
                <w:sz w:val="18"/>
              </w:rPr>
              <w:t>542,8</w:t>
            </w:r>
          </w:p>
        </w:tc>
      </w:tr>
    </w:tbl>
    <w:p w14:paraId="525DC750" w14:textId="77777777" w:rsidR="00CC198C" w:rsidRDefault="00CC198C">
      <w:pPr>
        <w:spacing w:after="0"/>
      </w:pPr>
    </w:p>
    <w:p w14:paraId="72B41E01" w14:textId="77777777" w:rsidR="00CC198C" w:rsidRDefault="00000000">
      <w:r>
        <w:t xml:space="preserve">Povećanje je radi isplate naknada općinskom povjerenstvu, proširenom </w:t>
      </w:r>
      <w:proofErr w:type="spellStart"/>
      <w:r>
        <w:t>sstavu</w:t>
      </w:r>
      <w:proofErr w:type="spellEnd"/>
      <w:r>
        <w:t xml:space="preserve"> i članovima biračkih odbora za održavanje lokalnih izbora.</w:t>
      </w:r>
    </w:p>
    <w:p w14:paraId="02EFF352" w14:textId="77777777" w:rsidR="00CC198C" w:rsidRDefault="00CC198C"/>
    <w:p w14:paraId="4A563414" w14:textId="77777777" w:rsidR="00CC198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157D17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18D24F"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4918E3"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C7D6D"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74AAF2"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CED26B"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B17CE" w14:textId="77777777" w:rsidR="00CC198C" w:rsidRDefault="00000000">
            <w:pPr>
              <w:keepNext/>
              <w:keepLines/>
              <w:spacing w:after="0" w:line="240" w:lineRule="auto"/>
              <w:jc w:val="center"/>
            </w:pPr>
            <w:r>
              <w:rPr>
                <w:b/>
                <w:sz w:val="18"/>
              </w:rPr>
              <w:t>Indeks (%)</w:t>
            </w:r>
          </w:p>
        </w:tc>
      </w:tr>
      <w:tr w:rsidR="00CC198C" w14:paraId="33D6B888" w14:textId="77777777">
        <w:tblPrEx>
          <w:tblCellMar>
            <w:top w:w="0" w:type="dxa"/>
            <w:bottom w:w="0" w:type="dxa"/>
          </w:tblCellMar>
        </w:tblPrEx>
        <w:trPr>
          <w:cantSplit/>
          <w:trHeight w:val="560"/>
        </w:trPr>
        <w:tc>
          <w:tcPr>
            <w:tcW w:w="700" w:type="dxa"/>
            <w:tcMar>
              <w:top w:w="0" w:type="dxa"/>
              <w:bottom w:w="0" w:type="dxa"/>
            </w:tcMar>
            <w:vAlign w:val="center"/>
          </w:tcPr>
          <w:p w14:paraId="7B099E46" w14:textId="77777777" w:rsidR="00CC198C" w:rsidRDefault="00000000">
            <w:pPr>
              <w:keepNext/>
              <w:keepLines/>
              <w:spacing w:after="0" w:line="240" w:lineRule="auto"/>
            </w:pPr>
            <w:r>
              <w:rPr>
                <w:sz w:val="18"/>
              </w:rPr>
              <w:t>3293</w:t>
            </w:r>
          </w:p>
        </w:tc>
        <w:tc>
          <w:tcPr>
            <w:tcW w:w="3180" w:type="dxa"/>
            <w:tcMar>
              <w:top w:w="0" w:type="dxa"/>
              <w:bottom w:w="0" w:type="dxa"/>
            </w:tcMar>
            <w:vAlign w:val="center"/>
          </w:tcPr>
          <w:p w14:paraId="3B09E295" w14:textId="77777777" w:rsidR="00CC198C" w:rsidRDefault="00000000">
            <w:pPr>
              <w:keepNext/>
              <w:keepLines/>
              <w:spacing w:after="0" w:line="240" w:lineRule="auto"/>
            </w:pPr>
            <w:r>
              <w:rPr>
                <w:sz w:val="18"/>
              </w:rPr>
              <w:t>Reprezentacija</w:t>
            </w:r>
          </w:p>
        </w:tc>
        <w:tc>
          <w:tcPr>
            <w:tcW w:w="700" w:type="dxa"/>
            <w:tcMar>
              <w:top w:w="0" w:type="dxa"/>
              <w:bottom w:w="0" w:type="dxa"/>
            </w:tcMar>
            <w:vAlign w:val="center"/>
          </w:tcPr>
          <w:p w14:paraId="0546516A" w14:textId="77777777" w:rsidR="00CC198C" w:rsidRDefault="00000000">
            <w:pPr>
              <w:keepNext/>
              <w:keepLines/>
              <w:spacing w:after="0" w:line="240" w:lineRule="auto"/>
            </w:pPr>
            <w:r>
              <w:rPr>
                <w:sz w:val="18"/>
              </w:rPr>
              <w:t>3293</w:t>
            </w:r>
          </w:p>
        </w:tc>
        <w:tc>
          <w:tcPr>
            <w:tcW w:w="1860" w:type="dxa"/>
            <w:tcMar>
              <w:top w:w="0" w:type="dxa"/>
              <w:bottom w:w="0" w:type="dxa"/>
            </w:tcMar>
            <w:vAlign w:val="center"/>
          </w:tcPr>
          <w:p w14:paraId="75ADF678" w14:textId="77777777" w:rsidR="00CC198C" w:rsidRDefault="00000000">
            <w:pPr>
              <w:keepNext/>
              <w:keepLines/>
              <w:spacing w:after="0" w:line="240" w:lineRule="auto"/>
              <w:jc w:val="right"/>
            </w:pPr>
            <w:r>
              <w:rPr>
                <w:sz w:val="18"/>
              </w:rPr>
              <w:t>16.789,63</w:t>
            </w:r>
          </w:p>
        </w:tc>
        <w:tc>
          <w:tcPr>
            <w:tcW w:w="1860" w:type="dxa"/>
            <w:tcMar>
              <w:top w:w="0" w:type="dxa"/>
              <w:bottom w:w="0" w:type="dxa"/>
            </w:tcMar>
            <w:vAlign w:val="center"/>
          </w:tcPr>
          <w:p w14:paraId="2DD544D1" w14:textId="77777777" w:rsidR="00CC198C" w:rsidRDefault="00000000">
            <w:pPr>
              <w:keepNext/>
              <w:keepLines/>
              <w:spacing w:after="0" w:line="240" w:lineRule="auto"/>
              <w:jc w:val="right"/>
            </w:pPr>
            <w:r>
              <w:rPr>
                <w:sz w:val="18"/>
              </w:rPr>
              <w:t>8.906,77</w:t>
            </w:r>
          </w:p>
        </w:tc>
        <w:tc>
          <w:tcPr>
            <w:tcW w:w="700" w:type="dxa"/>
            <w:tcMar>
              <w:top w:w="0" w:type="dxa"/>
              <w:bottom w:w="0" w:type="dxa"/>
            </w:tcMar>
            <w:vAlign w:val="center"/>
          </w:tcPr>
          <w:p w14:paraId="69BDDD11" w14:textId="77777777" w:rsidR="00CC198C" w:rsidRDefault="00000000">
            <w:pPr>
              <w:keepNext/>
              <w:keepLines/>
              <w:spacing w:after="0" w:line="240" w:lineRule="auto"/>
              <w:jc w:val="right"/>
            </w:pPr>
            <w:r>
              <w:rPr>
                <w:sz w:val="18"/>
              </w:rPr>
              <w:t>53,0</w:t>
            </w:r>
          </w:p>
        </w:tc>
      </w:tr>
    </w:tbl>
    <w:p w14:paraId="4F720DB3" w14:textId="77777777" w:rsidR="00CC198C" w:rsidRDefault="00CC198C">
      <w:pPr>
        <w:spacing w:after="0"/>
      </w:pPr>
    </w:p>
    <w:p w14:paraId="65847320" w14:textId="77777777" w:rsidR="00CC198C" w:rsidRDefault="00000000">
      <w:r>
        <w:t>Reprezentacija je manja jer se nisu održale sve planirane godišnje manifestacije.</w:t>
      </w:r>
    </w:p>
    <w:p w14:paraId="2541906E" w14:textId="77777777" w:rsidR="00CC198C" w:rsidRDefault="00CC198C"/>
    <w:p w14:paraId="5F4EA4D3" w14:textId="77777777" w:rsidR="00CC198C"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5C4242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161CD3"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CB340"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558DF8"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43644"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129A01"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AB0742" w14:textId="77777777" w:rsidR="00CC198C" w:rsidRDefault="00000000">
            <w:pPr>
              <w:keepNext/>
              <w:keepLines/>
              <w:spacing w:after="0" w:line="240" w:lineRule="auto"/>
              <w:jc w:val="center"/>
            </w:pPr>
            <w:r>
              <w:rPr>
                <w:b/>
                <w:sz w:val="18"/>
              </w:rPr>
              <w:t>Indeks (%)</w:t>
            </w:r>
          </w:p>
        </w:tc>
      </w:tr>
      <w:tr w:rsidR="00CC198C" w14:paraId="7A98EB8E" w14:textId="77777777">
        <w:tblPrEx>
          <w:tblCellMar>
            <w:top w:w="0" w:type="dxa"/>
            <w:bottom w:w="0" w:type="dxa"/>
          </w:tblCellMar>
        </w:tblPrEx>
        <w:trPr>
          <w:cantSplit/>
          <w:trHeight w:val="560"/>
        </w:trPr>
        <w:tc>
          <w:tcPr>
            <w:tcW w:w="700" w:type="dxa"/>
            <w:tcMar>
              <w:top w:w="0" w:type="dxa"/>
              <w:bottom w:w="0" w:type="dxa"/>
            </w:tcMar>
            <w:vAlign w:val="center"/>
          </w:tcPr>
          <w:p w14:paraId="74F356FA" w14:textId="77777777" w:rsidR="00CC198C" w:rsidRDefault="00000000">
            <w:pPr>
              <w:keepNext/>
              <w:keepLines/>
              <w:spacing w:after="0" w:line="240" w:lineRule="auto"/>
            </w:pPr>
            <w:r>
              <w:rPr>
                <w:sz w:val="18"/>
              </w:rPr>
              <w:t>35</w:t>
            </w:r>
          </w:p>
        </w:tc>
        <w:tc>
          <w:tcPr>
            <w:tcW w:w="3180" w:type="dxa"/>
            <w:tcMar>
              <w:top w:w="0" w:type="dxa"/>
              <w:bottom w:w="0" w:type="dxa"/>
            </w:tcMar>
            <w:vAlign w:val="center"/>
          </w:tcPr>
          <w:p w14:paraId="365C9F98" w14:textId="77777777" w:rsidR="00CC198C"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1A635DEB" w14:textId="77777777" w:rsidR="00CC198C" w:rsidRDefault="00000000">
            <w:pPr>
              <w:keepNext/>
              <w:keepLines/>
              <w:spacing w:after="0" w:line="240" w:lineRule="auto"/>
            </w:pPr>
            <w:r>
              <w:rPr>
                <w:sz w:val="18"/>
              </w:rPr>
              <w:t>35</w:t>
            </w:r>
          </w:p>
        </w:tc>
        <w:tc>
          <w:tcPr>
            <w:tcW w:w="1860" w:type="dxa"/>
            <w:tcMar>
              <w:top w:w="0" w:type="dxa"/>
              <w:bottom w:w="0" w:type="dxa"/>
            </w:tcMar>
            <w:vAlign w:val="center"/>
          </w:tcPr>
          <w:p w14:paraId="7116AFB9" w14:textId="77777777" w:rsidR="00CC198C" w:rsidRDefault="00000000">
            <w:pPr>
              <w:keepNext/>
              <w:keepLines/>
              <w:spacing w:after="0" w:line="240" w:lineRule="auto"/>
              <w:jc w:val="right"/>
            </w:pPr>
            <w:r>
              <w:rPr>
                <w:sz w:val="18"/>
              </w:rPr>
              <w:t>22.816,78</w:t>
            </w:r>
          </w:p>
        </w:tc>
        <w:tc>
          <w:tcPr>
            <w:tcW w:w="1860" w:type="dxa"/>
            <w:tcMar>
              <w:top w:w="0" w:type="dxa"/>
              <w:bottom w:w="0" w:type="dxa"/>
            </w:tcMar>
            <w:vAlign w:val="center"/>
          </w:tcPr>
          <w:p w14:paraId="0E60449F" w14:textId="77777777" w:rsidR="00CC198C" w:rsidRDefault="00000000">
            <w:pPr>
              <w:keepNext/>
              <w:keepLines/>
              <w:spacing w:after="0" w:line="240" w:lineRule="auto"/>
              <w:jc w:val="right"/>
            </w:pPr>
            <w:r>
              <w:rPr>
                <w:sz w:val="18"/>
              </w:rPr>
              <w:t>19.132,77</w:t>
            </w:r>
          </w:p>
        </w:tc>
        <w:tc>
          <w:tcPr>
            <w:tcW w:w="700" w:type="dxa"/>
            <w:tcMar>
              <w:top w:w="0" w:type="dxa"/>
              <w:bottom w:w="0" w:type="dxa"/>
            </w:tcMar>
            <w:vAlign w:val="center"/>
          </w:tcPr>
          <w:p w14:paraId="1E353758" w14:textId="77777777" w:rsidR="00CC198C" w:rsidRDefault="00000000">
            <w:pPr>
              <w:keepNext/>
              <w:keepLines/>
              <w:spacing w:after="0" w:line="240" w:lineRule="auto"/>
              <w:jc w:val="right"/>
            </w:pPr>
            <w:r>
              <w:rPr>
                <w:sz w:val="18"/>
              </w:rPr>
              <w:t>83,9</w:t>
            </w:r>
          </w:p>
        </w:tc>
      </w:tr>
    </w:tbl>
    <w:p w14:paraId="57919674" w14:textId="77777777" w:rsidR="00CC198C" w:rsidRDefault="00CC198C">
      <w:pPr>
        <w:spacing w:after="0"/>
      </w:pPr>
    </w:p>
    <w:p w14:paraId="0745C154" w14:textId="77777777" w:rsidR="00CC198C" w:rsidRDefault="00000000">
      <w:r>
        <w:t xml:space="preserve">Subvencije su manje u odnosu na prošlogodišnje izvještajno razdoblje radi manje podnesenih zahtjeva za </w:t>
      </w:r>
      <w:proofErr w:type="spellStart"/>
      <w:r>
        <w:t>subvenciranje</w:t>
      </w:r>
      <w:proofErr w:type="spellEnd"/>
      <w:r>
        <w:t xml:space="preserve"> poljoprivrede.</w:t>
      </w:r>
    </w:p>
    <w:p w14:paraId="1A16572F" w14:textId="77777777" w:rsidR="00CC198C" w:rsidRDefault="00CC198C"/>
    <w:p w14:paraId="661B6B3B" w14:textId="77777777" w:rsidR="00CC198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38C472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EDA960"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8793C6"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3D1335"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16B0E5"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D1675"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A37B78" w14:textId="77777777" w:rsidR="00CC198C" w:rsidRDefault="00000000">
            <w:pPr>
              <w:keepNext/>
              <w:keepLines/>
              <w:spacing w:after="0" w:line="240" w:lineRule="auto"/>
              <w:jc w:val="center"/>
            </w:pPr>
            <w:r>
              <w:rPr>
                <w:b/>
                <w:sz w:val="18"/>
              </w:rPr>
              <w:t>Indeks (%)</w:t>
            </w:r>
          </w:p>
        </w:tc>
      </w:tr>
      <w:tr w:rsidR="00CC198C" w14:paraId="3E098EBB" w14:textId="77777777">
        <w:tblPrEx>
          <w:tblCellMar>
            <w:top w:w="0" w:type="dxa"/>
            <w:bottom w:w="0" w:type="dxa"/>
          </w:tblCellMar>
        </w:tblPrEx>
        <w:trPr>
          <w:cantSplit/>
          <w:trHeight w:val="560"/>
        </w:trPr>
        <w:tc>
          <w:tcPr>
            <w:tcW w:w="700" w:type="dxa"/>
            <w:tcMar>
              <w:top w:w="0" w:type="dxa"/>
              <w:bottom w:w="0" w:type="dxa"/>
            </w:tcMar>
            <w:vAlign w:val="center"/>
          </w:tcPr>
          <w:p w14:paraId="6375E663" w14:textId="77777777" w:rsidR="00CC198C" w:rsidRDefault="00000000">
            <w:pPr>
              <w:keepNext/>
              <w:keepLines/>
              <w:spacing w:after="0" w:line="240" w:lineRule="auto"/>
            </w:pPr>
            <w:r>
              <w:rPr>
                <w:sz w:val="18"/>
              </w:rPr>
              <w:t>38</w:t>
            </w:r>
          </w:p>
        </w:tc>
        <w:tc>
          <w:tcPr>
            <w:tcW w:w="3180" w:type="dxa"/>
            <w:tcMar>
              <w:top w:w="0" w:type="dxa"/>
              <w:bottom w:w="0" w:type="dxa"/>
            </w:tcMar>
            <w:vAlign w:val="center"/>
          </w:tcPr>
          <w:p w14:paraId="3D1446B9" w14:textId="77777777" w:rsidR="00CC198C"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4DE9EA1E" w14:textId="77777777" w:rsidR="00CC198C" w:rsidRDefault="00000000">
            <w:pPr>
              <w:keepNext/>
              <w:keepLines/>
              <w:spacing w:after="0" w:line="240" w:lineRule="auto"/>
            </w:pPr>
            <w:r>
              <w:rPr>
                <w:sz w:val="18"/>
              </w:rPr>
              <w:t>38</w:t>
            </w:r>
          </w:p>
        </w:tc>
        <w:tc>
          <w:tcPr>
            <w:tcW w:w="1860" w:type="dxa"/>
            <w:tcMar>
              <w:top w:w="0" w:type="dxa"/>
              <w:bottom w:w="0" w:type="dxa"/>
            </w:tcMar>
            <w:vAlign w:val="center"/>
          </w:tcPr>
          <w:p w14:paraId="21C7629B" w14:textId="77777777" w:rsidR="00CC198C" w:rsidRDefault="00000000">
            <w:pPr>
              <w:keepNext/>
              <w:keepLines/>
              <w:spacing w:after="0" w:line="240" w:lineRule="auto"/>
              <w:jc w:val="right"/>
            </w:pPr>
            <w:r>
              <w:rPr>
                <w:sz w:val="18"/>
              </w:rPr>
              <w:t>104.901,47</w:t>
            </w:r>
          </w:p>
        </w:tc>
        <w:tc>
          <w:tcPr>
            <w:tcW w:w="1860" w:type="dxa"/>
            <w:tcMar>
              <w:top w:w="0" w:type="dxa"/>
              <w:bottom w:w="0" w:type="dxa"/>
            </w:tcMar>
            <w:vAlign w:val="center"/>
          </w:tcPr>
          <w:p w14:paraId="791EA8C0" w14:textId="77777777" w:rsidR="00CC198C" w:rsidRDefault="00000000">
            <w:pPr>
              <w:keepNext/>
              <w:keepLines/>
              <w:spacing w:after="0" w:line="240" w:lineRule="auto"/>
              <w:jc w:val="right"/>
            </w:pPr>
            <w:r>
              <w:rPr>
                <w:sz w:val="18"/>
              </w:rPr>
              <w:t>154.070,50</w:t>
            </w:r>
          </w:p>
        </w:tc>
        <w:tc>
          <w:tcPr>
            <w:tcW w:w="700" w:type="dxa"/>
            <w:tcMar>
              <w:top w:w="0" w:type="dxa"/>
              <w:bottom w:w="0" w:type="dxa"/>
            </w:tcMar>
            <w:vAlign w:val="center"/>
          </w:tcPr>
          <w:p w14:paraId="283CC2CA" w14:textId="77777777" w:rsidR="00CC198C" w:rsidRDefault="00000000">
            <w:pPr>
              <w:keepNext/>
              <w:keepLines/>
              <w:spacing w:after="0" w:line="240" w:lineRule="auto"/>
              <w:jc w:val="right"/>
            </w:pPr>
            <w:r>
              <w:rPr>
                <w:sz w:val="18"/>
              </w:rPr>
              <w:t>146,9</w:t>
            </w:r>
          </w:p>
        </w:tc>
      </w:tr>
    </w:tbl>
    <w:p w14:paraId="0FB5837D" w14:textId="77777777" w:rsidR="00CC198C" w:rsidRDefault="00CC198C">
      <w:pPr>
        <w:spacing w:after="0"/>
      </w:pPr>
    </w:p>
    <w:p w14:paraId="418206EF" w14:textId="77777777" w:rsidR="00CC198C" w:rsidRDefault="00000000">
      <w:r>
        <w:t>Rashodi za donacije, kazne, naknade šteta i kapitalne pomoći su veći u odnosu na prošlogodišnje izvještajno razdoblje jer su povećani iznosi donacija udrugama sa područja Općine Ferdinandovac.</w:t>
      </w:r>
    </w:p>
    <w:p w14:paraId="3450E554" w14:textId="77777777" w:rsidR="00CC198C" w:rsidRDefault="00000000">
      <w:r>
        <w:t> </w:t>
      </w:r>
    </w:p>
    <w:p w14:paraId="5E9613DF" w14:textId="77777777" w:rsidR="00CC198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F250C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853930"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EFC4DA"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F8D93"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72AF3"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C7915B"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202B2D" w14:textId="77777777" w:rsidR="00CC198C" w:rsidRDefault="00000000">
            <w:pPr>
              <w:keepNext/>
              <w:keepLines/>
              <w:spacing w:after="0" w:line="240" w:lineRule="auto"/>
              <w:jc w:val="center"/>
            </w:pPr>
            <w:r>
              <w:rPr>
                <w:b/>
                <w:sz w:val="18"/>
              </w:rPr>
              <w:t>Indeks (%)</w:t>
            </w:r>
          </w:p>
        </w:tc>
      </w:tr>
      <w:tr w:rsidR="00CC198C" w14:paraId="78C070A2" w14:textId="77777777">
        <w:tblPrEx>
          <w:tblCellMar>
            <w:top w:w="0" w:type="dxa"/>
            <w:bottom w:w="0" w:type="dxa"/>
          </w:tblCellMar>
        </w:tblPrEx>
        <w:trPr>
          <w:cantSplit/>
          <w:trHeight w:val="560"/>
        </w:trPr>
        <w:tc>
          <w:tcPr>
            <w:tcW w:w="700" w:type="dxa"/>
            <w:tcMar>
              <w:top w:w="0" w:type="dxa"/>
              <w:bottom w:w="0" w:type="dxa"/>
            </w:tcMar>
            <w:vAlign w:val="center"/>
          </w:tcPr>
          <w:p w14:paraId="1B4B489B" w14:textId="77777777" w:rsidR="00CC198C" w:rsidRDefault="00000000">
            <w:pPr>
              <w:keepNext/>
              <w:keepLines/>
              <w:spacing w:after="0" w:line="240" w:lineRule="auto"/>
            </w:pPr>
            <w:r>
              <w:rPr>
                <w:sz w:val="18"/>
              </w:rPr>
              <w:t>4213</w:t>
            </w:r>
          </w:p>
        </w:tc>
        <w:tc>
          <w:tcPr>
            <w:tcW w:w="3180" w:type="dxa"/>
            <w:tcMar>
              <w:top w:w="0" w:type="dxa"/>
              <w:bottom w:w="0" w:type="dxa"/>
            </w:tcMar>
            <w:vAlign w:val="center"/>
          </w:tcPr>
          <w:p w14:paraId="322D108A" w14:textId="77777777" w:rsidR="00CC198C"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05E05AC0" w14:textId="77777777" w:rsidR="00CC198C" w:rsidRDefault="00000000">
            <w:pPr>
              <w:keepNext/>
              <w:keepLines/>
              <w:spacing w:after="0" w:line="240" w:lineRule="auto"/>
            </w:pPr>
            <w:r>
              <w:rPr>
                <w:sz w:val="18"/>
              </w:rPr>
              <w:t>4213</w:t>
            </w:r>
          </w:p>
        </w:tc>
        <w:tc>
          <w:tcPr>
            <w:tcW w:w="1860" w:type="dxa"/>
            <w:tcMar>
              <w:top w:w="0" w:type="dxa"/>
              <w:bottom w:w="0" w:type="dxa"/>
            </w:tcMar>
            <w:vAlign w:val="center"/>
          </w:tcPr>
          <w:p w14:paraId="0B061859" w14:textId="77777777" w:rsidR="00CC198C" w:rsidRDefault="00000000">
            <w:pPr>
              <w:keepNext/>
              <w:keepLines/>
              <w:spacing w:after="0" w:line="240" w:lineRule="auto"/>
              <w:jc w:val="right"/>
            </w:pPr>
            <w:r>
              <w:rPr>
                <w:sz w:val="18"/>
              </w:rPr>
              <w:t>219.412,17</w:t>
            </w:r>
          </w:p>
        </w:tc>
        <w:tc>
          <w:tcPr>
            <w:tcW w:w="1860" w:type="dxa"/>
            <w:tcMar>
              <w:top w:w="0" w:type="dxa"/>
              <w:bottom w:w="0" w:type="dxa"/>
            </w:tcMar>
            <w:vAlign w:val="center"/>
          </w:tcPr>
          <w:p w14:paraId="03E0C256" w14:textId="77777777" w:rsidR="00CC198C" w:rsidRDefault="00000000">
            <w:pPr>
              <w:keepNext/>
              <w:keepLines/>
              <w:spacing w:after="0" w:line="240" w:lineRule="auto"/>
              <w:jc w:val="right"/>
            </w:pPr>
            <w:r>
              <w:rPr>
                <w:sz w:val="18"/>
              </w:rPr>
              <w:t>329.930,79</w:t>
            </w:r>
          </w:p>
        </w:tc>
        <w:tc>
          <w:tcPr>
            <w:tcW w:w="700" w:type="dxa"/>
            <w:tcMar>
              <w:top w:w="0" w:type="dxa"/>
              <w:bottom w:w="0" w:type="dxa"/>
            </w:tcMar>
            <w:vAlign w:val="center"/>
          </w:tcPr>
          <w:p w14:paraId="608C12F7" w14:textId="77777777" w:rsidR="00CC198C" w:rsidRDefault="00000000">
            <w:pPr>
              <w:keepNext/>
              <w:keepLines/>
              <w:spacing w:after="0" w:line="240" w:lineRule="auto"/>
              <w:jc w:val="right"/>
            </w:pPr>
            <w:r>
              <w:rPr>
                <w:sz w:val="18"/>
              </w:rPr>
              <w:t>150,4</w:t>
            </w:r>
          </w:p>
        </w:tc>
      </w:tr>
    </w:tbl>
    <w:p w14:paraId="09ADEE11" w14:textId="77777777" w:rsidR="00CC198C" w:rsidRDefault="00CC198C">
      <w:pPr>
        <w:spacing w:after="0"/>
      </w:pPr>
    </w:p>
    <w:p w14:paraId="474419DB" w14:textId="3B43B7BA" w:rsidR="00CC198C" w:rsidRDefault="00000000">
      <w:r>
        <w:t>Ceste i ostali prometni objekti su u ovom izvještajnom razdoblju veći u odnosu na prošlogodišnje izvještajno razdoblje radi rekonstrukcija prometnica i ostalih prometnih objekata.</w:t>
      </w:r>
    </w:p>
    <w:p w14:paraId="1AA0D096" w14:textId="77777777" w:rsidR="00CC198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21F345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6EBECB"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A4359"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165965"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023AC"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157ABA"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120FC1" w14:textId="77777777" w:rsidR="00CC198C" w:rsidRDefault="00000000">
            <w:pPr>
              <w:keepNext/>
              <w:keepLines/>
              <w:spacing w:after="0" w:line="240" w:lineRule="auto"/>
              <w:jc w:val="center"/>
            </w:pPr>
            <w:r>
              <w:rPr>
                <w:b/>
                <w:sz w:val="18"/>
              </w:rPr>
              <w:t>Indeks (%)</w:t>
            </w:r>
          </w:p>
        </w:tc>
      </w:tr>
      <w:tr w:rsidR="00CC198C" w14:paraId="2094799B" w14:textId="77777777">
        <w:tblPrEx>
          <w:tblCellMar>
            <w:top w:w="0" w:type="dxa"/>
            <w:bottom w:w="0" w:type="dxa"/>
          </w:tblCellMar>
        </w:tblPrEx>
        <w:trPr>
          <w:cantSplit/>
          <w:trHeight w:val="560"/>
        </w:trPr>
        <w:tc>
          <w:tcPr>
            <w:tcW w:w="700" w:type="dxa"/>
            <w:tcMar>
              <w:top w:w="0" w:type="dxa"/>
              <w:bottom w:w="0" w:type="dxa"/>
            </w:tcMar>
            <w:vAlign w:val="center"/>
          </w:tcPr>
          <w:p w14:paraId="0CB704FA" w14:textId="77777777" w:rsidR="00CC198C" w:rsidRDefault="00000000">
            <w:pPr>
              <w:keepNext/>
              <w:keepLines/>
              <w:spacing w:after="0" w:line="240" w:lineRule="auto"/>
            </w:pPr>
            <w:r>
              <w:rPr>
                <w:sz w:val="18"/>
              </w:rPr>
              <w:t>422</w:t>
            </w:r>
          </w:p>
        </w:tc>
        <w:tc>
          <w:tcPr>
            <w:tcW w:w="3180" w:type="dxa"/>
            <w:tcMar>
              <w:top w:w="0" w:type="dxa"/>
              <w:bottom w:w="0" w:type="dxa"/>
            </w:tcMar>
            <w:vAlign w:val="center"/>
          </w:tcPr>
          <w:p w14:paraId="6446A869" w14:textId="77777777" w:rsidR="00CC198C"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05B7A9D3" w14:textId="77777777" w:rsidR="00CC198C" w:rsidRDefault="00000000">
            <w:pPr>
              <w:keepNext/>
              <w:keepLines/>
              <w:spacing w:after="0" w:line="240" w:lineRule="auto"/>
            </w:pPr>
            <w:r>
              <w:rPr>
                <w:sz w:val="18"/>
              </w:rPr>
              <w:t>422</w:t>
            </w:r>
          </w:p>
        </w:tc>
        <w:tc>
          <w:tcPr>
            <w:tcW w:w="1860" w:type="dxa"/>
            <w:tcMar>
              <w:top w:w="0" w:type="dxa"/>
              <w:bottom w:w="0" w:type="dxa"/>
            </w:tcMar>
            <w:vAlign w:val="center"/>
          </w:tcPr>
          <w:p w14:paraId="71FAC9C8" w14:textId="77777777" w:rsidR="00CC198C" w:rsidRDefault="00000000">
            <w:pPr>
              <w:keepNext/>
              <w:keepLines/>
              <w:spacing w:after="0" w:line="240" w:lineRule="auto"/>
              <w:jc w:val="right"/>
            </w:pPr>
            <w:r>
              <w:rPr>
                <w:sz w:val="18"/>
              </w:rPr>
              <w:t>14.515,03</w:t>
            </w:r>
          </w:p>
        </w:tc>
        <w:tc>
          <w:tcPr>
            <w:tcW w:w="1860" w:type="dxa"/>
            <w:tcMar>
              <w:top w:w="0" w:type="dxa"/>
              <w:bottom w:w="0" w:type="dxa"/>
            </w:tcMar>
            <w:vAlign w:val="center"/>
          </w:tcPr>
          <w:p w14:paraId="3D1BFE75" w14:textId="77777777" w:rsidR="00CC198C" w:rsidRDefault="00000000">
            <w:pPr>
              <w:keepNext/>
              <w:keepLines/>
              <w:spacing w:after="0" w:line="240" w:lineRule="auto"/>
              <w:jc w:val="right"/>
            </w:pPr>
            <w:r>
              <w:rPr>
                <w:sz w:val="18"/>
              </w:rPr>
              <w:t>2.948,90</w:t>
            </w:r>
          </w:p>
        </w:tc>
        <w:tc>
          <w:tcPr>
            <w:tcW w:w="700" w:type="dxa"/>
            <w:tcMar>
              <w:top w:w="0" w:type="dxa"/>
              <w:bottom w:w="0" w:type="dxa"/>
            </w:tcMar>
            <w:vAlign w:val="center"/>
          </w:tcPr>
          <w:p w14:paraId="75FDB1A2" w14:textId="77777777" w:rsidR="00CC198C" w:rsidRDefault="00000000">
            <w:pPr>
              <w:keepNext/>
              <w:keepLines/>
              <w:spacing w:after="0" w:line="240" w:lineRule="auto"/>
              <w:jc w:val="right"/>
            </w:pPr>
            <w:r>
              <w:rPr>
                <w:sz w:val="18"/>
              </w:rPr>
              <w:t>20,3</w:t>
            </w:r>
          </w:p>
        </w:tc>
      </w:tr>
    </w:tbl>
    <w:p w14:paraId="7B09FC8E" w14:textId="77777777" w:rsidR="00CC198C" w:rsidRDefault="00CC198C">
      <w:pPr>
        <w:spacing w:after="0"/>
      </w:pPr>
    </w:p>
    <w:p w14:paraId="492ADE34" w14:textId="77777777" w:rsidR="00CC198C" w:rsidRDefault="00000000">
      <w:r>
        <w:t>Postrojenja i oprema u ovom izvještajnom razdoblju su manji u odnosu na prošlogodišnje izvještajno razdoblje radi manje nabave uredske, glazbene, sportske i ostale opreme. </w:t>
      </w:r>
    </w:p>
    <w:p w14:paraId="0C9B4C3B" w14:textId="77777777" w:rsidR="00CC198C" w:rsidRDefault="00CC198C"/>
    <w:p w14:paraId="3CC83705" w14:textId="77777777" w:rsidR="00CC198C"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A0796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38E82"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AF0D50"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9E61BF"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18B242"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7B479A"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768635" w14:textId="77777777" w:rsidR="00CC198C" w:rsidRDefault="00000000">
            <w:pPr>
              <w:keepNext/>
              <w:keepLines/>
              <w:spacing w:after="0" w:line="240" w:lineRule="auto"/>
              <w:jc w:val="center"/>
            </w:pPr>
            <w:r>
              <w:rPr>
                <w:b/>
                <w:sz w:val="18"/>
              </w:rPr>
              <w:t>Indeks (%)</w:t>
            </w:r>
          </w:p>
        </w:tc>
      </w:tr>
      <w:tr w:rsidR="00CC198C" w14:paraId="4AF9CB55" w14:textId="77777777">
        <w:tblPrEx>
          <w:tblCellMar>
            <w:top w:w="0" w:type="dxa"/>
            <w:bottom w:w="0" w:type="dxa"/>
          </w:tblCellMar>
        </w:tblPrEx>
        <w:trPr>
          <w:cantSplit/>
          <w:trHeight w:val="560"/>
        </w:trPr>
        <w:tc>
          <w:tcPr>
            <w:tcW w:w="700" w:type="dxa"/>
            <w:tcMar>
              <w:top w:w="0" w:type="dxa"/>
              <w:bottom w:w="0" w:type="dxa"/>
            </w:tcMar>
            <w:vAlign w:val="center"/>
          </w:tcPr>
          <w:p w14:paraId="4037EFEE" w14:textId="77777777" w:rsidR="00CC198C" w:rsidRDefault="00000000">
            <w:pPr>
              <w:keepNext/>
              <w:keepLines/>
              <w:spacing w:after="0" w:line="240" w:lineRule="auto"/>
            </w:pPr>
            <w:r>
              <w:rPr>
                <w:sz w:val="18"/>
              </w:rPr>
              <w:t>451</w:t>
            </w:r>
          </w:p>
        </w:tc>
        <w:tc>
          <w:tcPr>
            <w:tcW w:w="3180" w:type="dxa"/>
            <w:tcMar>
              <w:top w:w="0" w:type="dxa"/>
              <w:bottom w:w="0" w:type="dxa"/>
            </w:tcMar>
            <w:vAlign w:val="center"/>
          </w:tcPr>
          <w:p w14:paraId="3CFC41A5" w14:textId="77777777" w:rsidR="00CC198C"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46F3C05" w14:textId="77777777" w:rsidR="00CC198C" w:rsidRDefault="00000000">
            <w:pPr>
              <w:keepNext/>
              <w:keepLines/>
              <w:spacing w:after="0" w:line="240" w:lineRule="auto"/>
            </w:pPr>
            <w:r>
              <w:rPr>
                <w:sz w:val="18"/>
              </w:rPr>
              <w:t>451</w:t>
            </w:r>
          </w:p>
        </w:tc>
        <w:tc>
          <w:tcPr>
            <w:tcW w:w="1860" w:type="dxa"/>
            <w:tcMar>
              <w:top w:w="0" w:type="dxa"/>
              <w:bottom w:w="0" w:type="dxa"/>
            </w:tcMar>
            <w:vAlign w:val="center"/>
          </w:tcPr>
          <w:p w14:paraId="2A5E66EE" w14:textId="77777777" w:rsidR="00CC198C" w:rsidRDefault="00000000">
            <w:pPr>
              <w:keepNext/>
              <w:keepLines/>
              <w:spacing w:after="0" w:line="240" w:lineRule="auto"/>
              <w:jc w:val="right"/>
            </w:pPr>
            <w:r>
              <w:rPr>
                <w:sz w:val="18"/>
              </w:rPr>
              <w:t>184.791,72</w:t>
            </w:r>
          </w:p>
        </w:tc>
        <w:tc>
          <w:tcPr>
            <w:tcW w:w="1860" w:type="dxa"/>
            <w:tcMar>
              <w:top w:w="0" w:type="dxa"/>
              <w:bottom w:w="0" w:type="dxa"/>
            </w:tcMar>
            <w:vAlign w:val="center"/>
          </w:tcPr>
          <w:p w14:paraId="029F8D82" w14:textId="77777777" w:rsidR="00CC198C" w:rsidRDefault="00000000">
            <w:pPr>
              <w:keepNext/>
              <w:keepLines/>
              <w:spacing w:after="0" w:line="240" w:lineRule="auto"/>
              <w:jc w:val="right"/>
            </w:pPr>
            <w:r>
              <w:rPr>
                <w:sz w:val="18"/>
              </w:rPr>
              <w:t>57.942,50</w:t>
            </w:r>
          </w:p>
        </w:tc>
        <w:tc>
          <w:tcPr>
            <w:tcW w:w="700" w:type="dxa"/>
            <w:tcMar>
              <w:top w:w="0" w:type="dxa"/>
              <w:bottom w:w="0" w:type="dxa"/>
            </w:tcMar>
            <w:vAlign w:val="center"/>
          </w:tcPr>
          <w:p w14:paraId="3E046DEC" w14:textId="77777777" w:rsidR="00CC198C" w:rsidRDefault="00000000">
            <w:pPr>
              <w:keepNext/>
              <w:keepLines/>
              <w:spacing w:after="0" w:line="240" w:lineRule="auto"/>
              <w:jc w:val="right"/>
            </w:pPr>
            <w:r>
              <w:rPr>
                <w:sz w:val="18"/>
              </w:rPr>
              <w:t>31,4</w:t>
            </w:r>
          </w:p>
        </w:tc>
      </w:tr>
    </w:tbl>
    <w:p w14:paraId="6BFA4921" w14:textId="77777777" w:rsidR="00CC198C" w:rsidRDefault="00CC198C">
      <w:pPr>
        <w:spacing w:after="0"/>
      </w:pPr>
    </w:p>
    <w:p w14:paraId="7BD45B3D" w14:textId="77777777" w:rsidR="00CC198C" w:rsidRDefault="00000000">
      <w:r>
        <w:t>Rashodi za dodatna ulaganja na građevinskim objektima su u ovom izvještajno razdoblju manji u odnosu na prošlogodišnje izvještajno razdoblje jer su realizirani započeti kapitalni projekti.</w:t>
      </w:r>
    </w:p>
    <w:p w14:paraId="21A1C5F3" w14:textId="3FF7AF55" w:rsidR="00CC198C" w:rsidRDefault="00000000">
      <w:r>
        <w:t> </w:t>
      </w:r>
    </w:p>
    <w:p w14:paraId="5633AF94" w14:textId="77777777" w:rsidR="00CC198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24780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3925E"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72CC36"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10DF9A"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EE252"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1D59A8"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052ACA" w14:textId="77777777" w:rsidR="00CC198C" w:rsidRDefault="00000000">
            <w:pPr>
              <w:keepNext/>
              <w:keepLines/>
              <w:spacing w:after="0" w:line="240" w:lineRule="auto"/>
              <w:jc w:val="center"/>
            </w:pPr>
            <w:r>
              <w:rPr>
                <w:b/>
                <w:sz w:val="18"/>
              </w:rPr>
              <w:t>Indeks (%)</w:t>
            </w:r>
          </w:p>
        </w:tc>
      </w:tr>
      <w:tr w:rsidR="00CC198C" w14:paraId="301E0CDB" w14:textId="77777777">
        <w:tblPrEx>
          <w:tblCellMar>
            <w:top w:w="0" w:type="dxa"/>
            <w:bottom w:w="0" w:type="dxa"/>
          </w:tblCellMar>
        </w:tblPrEx>
        <w:trPr>
          <w:cantSplit/>
          <w:trHeight w:val="560"/>
        </w:trPr>
        <w:tc>
          <w:tcPr>
            <w:tcW w:w="700" w:type="dxa"/>
            <w:tcMar>
              <w:top w:w="0" w:type="dxa"/>
              <w:bottom w:w="0" w:type="dxa"/>
            </w:tcMar>
            <w:vAlign w:val="center"/>
          </w:tcPr>
          <w:p w14:paraId="6C1563A7" w14:textId="77777777" w:rsidR="00CC198C" w:rsidRDefault="00CC198C">
            <w:pPr>
              <w:keepNext/>
              <w:keepLines/>
              <w:spacing w:after="0" w:line="240" w:lineRule="auto"/>
            </w:pPr>
          </w:p>
        </w:tc>
        <w:tc>
          <w:tcPr>
            <w:tcW w:w="3180" w:type="dxa"/>
            <w:tcMar>
              <w:top w:w="0" w:type="dxa"/>
              <w:bottom w:w="0" w:type="dxa"/>
            </w:tcMar>
            <w:vAlign w:val="center"/>
          </w:tcPr>
          <w:p w14:paraId="0B9CEA05" w14:textId="77777777" w:rsidR="00CC198C" w:rsidRDefault="00000000">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1DCA681B" w14:textId="77777777" w:rsidR="00CC198C" w:rsidRDefault="00000000">
            <w:pPr>
              <w:keepNext/>
              <w:keepLines/>
              <w:spacing w:after="0" w:line="240" w:lineRule="auto"/>
            </w:pPr>
            <w:r>
              <w:rPr>
                <w:sz w:val="18"/>
              </w:rPr>
              <w:t>Z006</w:t>
            </w:r>
          </w:p>
        </w:tc>
        <w:tc>
          <w:tcPr>
            <w:tcW w:w="1860" w:type="dxa"/>
            <w:tcMar>
              <w:top w:w="0" w:type="dxa"/>
              <w:bottom w:w="0" w:type="dxa"/>
            </w:tcMar>
            <w:vAlign w:val="center"/>
          </w:tcPr>
          <w:p w14:paraId="7908A6AD" w14:textId="77777777" w:rsidR="00CC198C" w:rsidRDefault="00000000">
            <w:pPr>
              <w:keepNext/>
              <w:keepLines/>
              <w:spacing w:after="0" w:line="240" w:lineRule="auto"/>
              <w:jc w:val="right"/>
            </w:pPr>
            <w:r>
              <w:rPr>
                <w:sz w:val="18"/>
              </w:rPr>
              <w:t>11,00</w:t>
            </w:r>
          </w:p>
        </w:tc>
        <w:tc>
          <w:tcPr>
            <w:tcW w:w="1860" w:type="dxa"/>
            <w:tcMar>
              <w:top w:w="0" w:type="dxa"/>
              <w:bottom w:w="0" w:type="dxa"/>
            </w:tcMar>
            <w:vAlign w:val="center"/>
          </w:tcPr>
          <w:p w14:paraId="5BEF3701" w14:textId="77777777" w:rsidR="00CC198C" w:rsidRDefault="00000000">
            <w:pPr>
              <w:keepNext/>
              <w:keepLines/>
              <w:spacing w:after="0" w:line="240" w:lineRule="auto"/>
              <w:jc w:val="right"/>
            </w:pPr>
            <w:r>
              <w:rPr>
                <w:sz w:val="18"/>
              </w:rPr>
              <w:t>15,00</w:t>
            </w:r>
          </w:p>
        </w:tc>
        <w:tc>
          <w:tcPr>
            <w:tcW w:w="700" w:type="dxa"/>
            <w:tcMar>
              <w:top w:w="0" w:type="dxa"/>
              <w:bottom w:w="0" w:type="dxa"/>
            </w:tcMar>
            <w:vAlign w:val="center"/>
          </w:tcPr>
          <w:p w14:paraId="031DFA75" w14:textId="77777777" w:rsidR="00CC198C" w:rsidRDefault="00000000">
            <w:pPr>
              <w:keepNext/>
              <w:keepLines/>
              <w:spacing w:after="0" w:line="240" w:lineRule="auto"/>
              <w:jc w:val="right"/>
            </w:pPr>
            <w:r>
              <w:rPr>
                <w:sz w:val="18"/>
              </w:rPr>
              <w:t>136,4</w:t>
            </w:r>
          </w:p>
        </w:tc>
      </w:tr>
    </w:tbl>
    <w:p w14:paraId="0BE009CD" w14:textId="77777777" w:rsidR="00CC198C" w:rsidRDefault="00CC198C">
      <w:pPr>
        <w:spacing w:after="0"/>
      </w:pPr>
    </w:p>
    <w:p w14:paraId="2CE4B898" w14:textId="77777777" w:rsidR="00CC198C" w:rsidRDefault="00000000">
      <w:r>
        <w:t>Povećanje je prosječnog broja zaposlenih radi zamjena za dugotrajna bolovanja.</w:t>
      </w:r>
    </w:p>
    <w:p w14:paraId="5D8A5EC2" w14:textId="77777777" w:rsidR="00CC198C" w:rsidRDefault="00CC198C"/>
    <w:p w14:paraId="20621384" w14:textId="77777777" w:rsidR="00CC198C" w:rsidRDefault="00000000">
      <w:pPr>
        <w:keepNext/>
        <w:spacing w:line="240" w:lineRule="auto"/>
        <w:jc w:val="center"/>
      </w:pPr>
      <w:r>
        <w:rPr>
          <w:b/>
          <w:sz w:val="28"/>
        </w:rPr>
        <w:t>Bilanca</w:t>
      </w:r>
    </w:p>
    <w:p w14:paraId="6D937D07" w14:textId="77777777" w:rsidR="00CC198C"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74D0AA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3059B9"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EEE281"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742F99"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2FE63"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F5F4E8"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C13310" w14:textId="77777777" w:rsidR="00CC198C" w:rsidRDefault="00000000">
            <w:pPr>
              <w:keepNext/>
              <w:keepLines/>
              <w:spacing w:after="0" w:line="240" w:lineRule="auto"/>
              <w:jc w:val="center"/>
            </w:pPr>
            <w:r>
              <w:rPr>
                <w:b/>
                <w:sz w:val="18"/>
              </w:rPr>
              <w:t>Indeks (%)</w:t>
            </w:r>
          </w:p>
        </w:tc>
      </w:tr>
      <w:tr w:rsidR="00CC198C" w14:paraId="7236148E" w14:textId="77777777">
        <w:tblPrEx>
          <w:tblCellMar>
            <w:top w:w="0" w:type="dxa"/>
            <w:bottom w:w="0" w:type="dxa"/>
          </w:tblCellMar>
        </w:tblPrEx>
        <w:trPr>
          <w:cantSplit/>
          <w:trHeight w:val="560"/>
        </w:trPr>
        <w:tc>
          <w:tcPr>
            <w:tcW w:w="700" w:type="dxa"/>
            <w:tcMar>
              <w:top w:w="0" w:type="dxa"/>
              <w:bottom w:w="0" w:type="dxa"/>
            </w:tcMar>
            <w:vAlign w:val="center"/>
          </w:tcPr>
          <w:p w14:paraId="043A3632" w14:textId="77777777" w:rsidR="00CC198C" w:rsidRDefault="00000000">
            <w:pPr>
              <w:keepNext/>
              <w:keepLines/>
              <w:spacing w:after="0" w:line="240" w:lineRule="auto"/>
            </w:pPr>
            <w:r>
              <w:rPr>
                <w:sz w:val="18"/>
              </w:rPr>
              <w:t>01</w:t>
            </w:r>
          </w:p>
        </w:tc>
        <w:tc>
          <w:tcPr>
            <w:tcW w:w="3180" w:type="dxa"/>
            <w:tcMar>
              <w:top w:w="0" w:type="dxa"/>
              <w:bottom w:w="0" w:type="dxa"/>
            </w:tcMar>
            <w:vAlign w:val="center"/>
          </w:tcPr>
          <w:p w14:paraId="483DC573" w14:textId="77777777" w:rsidR="00CC198C" w:rsidRDefault="00000000">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04CCA9D8" w14:textId="77777777" w:rsidR="00CC198C" w:rsidRDefault="00000000">
            <w:pPr>
              <w:keepNext/>
              <w:keepLines/>
              <w:spacing w:after="0" w:line="240" w:lineRule="auto"/>
            </w:pPr>
            <w:r>
              <w:rPr>
                <w:sz w:val="18"/>
              </w:rPr>
              <w:t>01</w:t>
            </w:r>
          </w:p>
        </w:tc>
        <w:tc>
          <w:tcPr>
            <w:tcW w:w="1860" w:type="dxa"/>
            <w:tcMar>
              <w:top w:w="0" w:type="dxa"/>
              <w:bottom w:w="0" w:type="dxa"/>
            </w:tcMar>
            <w:vAlign w:val="center"/>
          </w:tcPr>
          <w:p w14:paraId="3A9C6783" w14:textId="77777777" w:rsidR="00CC198C" w:rsidRDefault="00000000">
            <w:pPr>
              <w:keepNext/>
              <w:keepLines/>
              <w:spacing w:after="0" w:line="240" w:lineRule="auto"/>
              <w:jc w:val="right"/>
            </w:pPr>
            <w:r>
              <w:rPr>
                <w:sz w:val="18"/>
              </w:rPr>
              <w:t>1.063.928,06</w:t>
            </w:r>
          </w:p>
        </w:tc>
        <w:tc>
          <w:tcPr>
            <w:tcW w:w="1860" w:type="dxa"/>
            <w:tcMar>
              <w:top w:w="0" w:type="dxa"/>
              <w:bottom w:w="0" w:type="dxa"/>
            </w:tcMar>
            <w:vAlign w:val="center"/>
          </w:tcPr>
          <w:p w14:paraId="1D3BCE3B" w14:textId="77777777" w:rsidR="00CC198C" w:rsidRDefault="00000000">
            <w:pPr>
              <w:keepNext/>
              <w:keepLines/>
              <w:spacing w:after="0" w:line="240" w:lineRule="auto"/>
              <w:jc w:val="right"/>
            </w:pPr>
            <w:r>
              <w:rPr>
                <w:sz w:val="18"/>
              </w:rPr>
              <w:t>68.476,60</w:t>
            </w:r>
          </w:p>
        </w:tc>
        <w:tc>
          <w:tcPr>
            <w:tcW w:w="700" w:type="dxa"/>
            <w:tcMar>
              <w:top w:w="0" w:type="dxa"/>
              <w:bottom w:w="0" w:type="dxa"/>
            </w:tcMar>
            <w:vAlign w:val="center"/>
          </w:tcPr>
          <w:p w14:paraId="1A636568" w14:textId="77777777" w:rsidR="00CC198C" w:rsidRDefault="00000000">
            <w:pPr>
              <w:keepNext/>
              <w:keepLines/>
              <w:spacing w:after="0" w:line="240" w:lineRule="auto"/>
              <w:jc w:val="right"/>
            </w:pPr>
            <w:r>
              <w:rPr>
                <w:sz w:val="18"/>
              </w:rPr>
              <w:t>6,4</w:t>
            </w:r>
          </w:p>
        </w:tc>
      </w:tr>
    </w:tbl>
    <w:p w14:paraId="1FBF7A42" w14:textId="77777777" w:rsidR="00CC198C" w:rsidRDefault="00CC198C">
      <w:pPr>
        <w:spacing w:after="0"/>
      </w:pPr>
    </w:p>
    <w:p w14:paraId="0FC1F465" w14:textId="77777777" w:rsidR="00CC198C" w:rsidRDefault="00000000">
      <w:proofErr w:type="spellStart"/>
      <w:r>
        <w:t>Neproizvedena</w:t>
      </w:r>
      <w:proofErr w:type="spellEnd"/>
      <w:r>
        <w:t xml:space="preserve"> dugotrajna imovina smanjena je u odnosu na proteklu godinu zbog ispravka pogrešnog knjiženja odnosno usklade konta.</w:t>
      </w:r>
    </w:p>
    <w:p w14:paraId="1EC985EF" w14:textId="77777777" w:rsidR="00CC198C" w:rsidRDefault="00CC198C"/>
    <w:p w14:paraId="3423E0FD" w14:textId="77777777" w:rsidR="00CC198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8C0CF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7B2878"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CC6647"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7C6DBC"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8AAB20"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D3BEB2"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4784DD" w14:textId="77777777" w:rsidR="00CC198C" w:rsidRDefault="00000000">
            <w:pPr>
              <w:keepNext/>
              <w:keepLines/>
              <w:spacing w:after="0" w:line="240" w:lineRule="auto"/>
              <w:jc w:val="center"/>
            </w:pPr>
            <w:r>
              <w:rPr>
                <w:b/>
                <w:sz w:val="18"/>
              </w:rPr>
              <w:t>Indeks (%)</w:t>
            </w:r>
          </w:p>
        </w:tc>
      </w:tr>
      <w:tr w:rsidR="00CC198C" w14:paraId="0A6C6A54" w14:textId="77777777">
        <w:tblPrEx>
          <w:tblCellMar>
            <w:top w:w="0" w:type="dxa"/>
            <w:bottom w:w="0" w:type="dxa"/>
          </w:tblCellMar>
        </w:tblPrEx>
        <w:trPr>
          <w:cantSplit/>
          <w:trHeight w:val="560"/>
        </w:trPr>
        <w:tc>
          <w:tcPr>
            <w:tcW w:w="700" w:type="dxa"/>
            <w:tcMar>
              <w:top w:w="0" w:type="dxa"/>
              <w:bottom w:w="0" w:type="dxa"/>
            </w:tcMar>
            <w:vAlign w:val="center"/>
          </w:tcPr>
          <w:p w14:paraId="47EDEA50" w14:textId="77777777" w:rsidR="00CC198C" w:rsidRDefault="00000000">
            <w:pPr>
              <w:keepNext/>
              <w:keepLines/>
              <w:spacing w:after="0" w:line="240" w:lineRule="auto"/>
            </w:pPr>
            <w:r>
              <w:rPr>
                <w:sz w:val="18"/>
              </w:rPr>
              <w:t>02</w:t>
            </w:r>
          </w:p>
        </w:tc>
        <w:tc>
          <w:tcPr>
            <w:tcW w:w="3180" w:type="dxa"/>
            <w:tcMar>
              <w:top w:w="0" w:type="dxa"/>
              <w:bottom w:w="0" w:type="dxa"/>
            </w:tcMar>
            <w:vAlign w:val="center"/>
          </w:tcPr>
          <w:p w14:paraId="0D42CD71" w14:textId="77777777" w:rsidR="00CC198C"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56D01B60" w14:textId="77777777" w:rsidR="00CC198C" w:rsidRDefault="00000000">
            <w:pPr>
              <w:keepNext/>
              <w:keepLines/>
              <w:spacing w:after="0" w:line="240" w:lineRule="auto"/>
            </w:pPr>
            <w:r>
              <w:rPr>
                <w:sz w:val="18"/>
              </w:rPr>
              <w:t>02</w:t>
            </w:r>
          </w:p>
        </w:tc>
        <w:tc>
          <w:tcPr>
            <w:tcW w:w="1860" w:type="dxa"/>
            <w:tcMar>
              <w:top w:w="0" w:type="dxa"/>
              <w:bottom w:w="0" w:type="dxa"/>
            </w:tcMar>
            <w:vAlign w:val="center"/>
          </w:tcPr>
          <w:p w14:paraId="08B71BFA" w14:textId="77777777" w:rsidR="00CC198C" w:rsidRDefault="00000000">
            <w:pPr>
              <w:keepNext/>
              <w:keepLines/>
              <w:spacing w:after="0" w:line="240" w:lineRule="auto"/>
              <w:jc w:val="right"/>
            </w:pPr>
            <w:r>
              <w:rPr>
                <w:sz w:val="18"/>
              </w:rPr>
              <w:t>3.414.829,15</w:t>
            </w:r>
          </w:p>
        </w:tc>
        <w:tc>
          <w:tcPr>
            <w:tcW w:w="1860" w:type="dxa"/>
            <w:tcMar>
              <w:top w:w="0" w:type="dxa"/>
              <w:bottom w:w="0" w:type="dxa"/>
            </w:tcMar>
            <w:vAlign w:val="center"/>
          </w:tcPr>
          <w:p w14:paraId="73B90116" w14:textId="77777777" w:rsidR="00CC198C" w:rsidRDefault="00000000">
            <w:pPr>
              <w:keepNext/>
              <w:keepLines/>
              <w:spacing w:after="0" w:line="240" w:lineRule="auto"/>
              <w:jc w:val="right"/>
            </w:pPr>
            <w:r>
              <w:rPr>
                <w:sz w:val="18"/>
              </w:rPr>
              <w:t>4.412.314,15</w:t>
            </w:r>
          </w:p>
        </w:tc>
        <w:tc>
          <w:tcPr>
            <w:tcW w:w="700" w:type="dxa"/>
            <w:tcMar>
              <w:top w:w="0" w:type="dxa"/>
              <w:bottom w:w="0" w:type="dxa"/>
            </w:tcMar>
            <w:vAlign w:val="center"/>
          </w:tcPr>
          <w:p w14:paraId="1B6B9CD5" w14:textId="77777777" w:rsidR="00CC198C" w:rsidRDefault="00000000">
            <w:pPr>
              <w:keepNext/>
              <w:keepLines/>
              <w:spacing w:after="0" w:line="240" w:lineRule="auto"/>
              <w:jc w:val="right"/>
            </w:pPr>
            <w:r>
              <w:rPr>
                <w:sz w:val="18"/>
              </w:rPr>
              <w:t>129,2</w:t>
            </w:r>
          </w:p>
        </w:tc>
      </w:tr>
    </w:tbl>
    <w:p w14:paraId="7C37CEE9" w14:textId="77777777" w:rsidR="00CC198C" w:rsidRDefault="00CC198C">
      <w:pPr>
        <w:spacing w:after="0"/>
      </w:pPr>
    </w:p>
    <w:p w14:paraId="0409BBE8" w14:textId="77777777" w:rsidR="00CC198C" w:rsidRDefault="00000000">
      <w:r>
        <w:t>Povećanje je proizvedene dugotrajne imovine odnosno cesta, ostalih prometnih i građevinskih objekata.</w:t>
      </w:r>
    </w:p>
    <w:p w14:paraId="047A5F1E" w14:textId="77777777" w:rsidR="00CC198C" w:rsidRDefault="00CC198C"/>
    <w:p w14:paraId="659FBF56" w14:textId="77777777" w:rsidR="00CC198C"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82785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7C4459"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56D8B6"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47171"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40E627"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CA216F"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71932B" w14:textId="77777777" w:rsidR="00CC198C" w:rsidRDefault="00000000">
            <w:pPr>
              <w:keepNext/>
              <w:keepLines/>
              <w:spacing w:after="0" w:line="240" w:lineRule="auto"/>
              <w:jc w:val="center"/>
            </w:pPr>
            <w:r>
              <w:rPr>
                <w:b/>
                <w:sz w:val="18"/>
              </w:rPr>
              <w:t>Indeks (%)</w:t>
            </w:r>
          </w:p>
        </w:tc>
      </w:tr>
      <w:tr w:rsidR="00CC198C" w14:paraId="53E9150D" w14:textId="77777777">
        <w:tblPrEx>
          <w:tblCellMar>
            <w:top w:w="0" w:type="dxa"/>
            <w:bottom w:w="0" w:type="dxa"/>
          </w:tblCellMar>
        </w:tblPrEx>
        <w:trPr>
          <w:cantSplit/>
          <w:trHeight w:val="560"/>
        </w:trPr>
        <w:tc>
          <w:tcPr>
            <w:tcW w:w="700" w:type="dxa"/>
            <w:tcMar>
              <w:top w:w="0" w:type="dxa"/>
              <w:bottom w:w="0" w:type="dxa"/>
            </w:tcMar>
            <w:vAlign w:val="center"/>
          </w:tcPr>
          <w:p w14:paraId="6F2DF8A6" w14:textId="77777777" w:rsidR="00CC198C" w:rsidRDefault="00000000">
            <w:pPr>
              <w:keepNext/>
              <w:keepLines/>
              <w:spacing w:after="0" w:line="240" w:lineRule="auto"/>
            </w:pPr>
            <w:r>
              <w:rPr>
                <w:sz w:val="18"/>
              </w:rPr>
              <w:t>042</w:t>
            </w:r>
          </w:p>
        </w:tc>
        <w:tc>
          <w:tcPr>
            <w:tcW w:w="3180" w:type="dxa"/>
            <w:tcMar>
              <w:top w:w="0" w:type="dxa"/>
              <w:bottom w:w="0" w:type="dxa"/>
            </w:tcMar>
            <w:vAlign w:val="center"/>
          </w:tcPr>
          <w:p w14:paraId="51A8F390" w14:textId="77777777" w:rsidR="00CC198C"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5994AD82" w14:textId="77777777" w:rsidR="00CC198C" w:rsidRDefault="00000000">
            <w:pPr>
              <w:keepNext/>
              <w:keepLines/>
              <w:spacing w:after="0" w:line="240" w:lineRule="auto"/>
            </w:pPr>
            <w:r>
              <w:rPr>
                <w:sz w:val="18"/>
              </w:rPr>
              <w:t>042</w:t>
            </w:r>
          </w:p>
        </w:tc>
        <w:tc>
          <w:tcPr>
            <w:tcW w:w="1860" w:type="dxa"/>
            <w:tcMar>
              <w:top w:w="0" w:type="dxa"/>
              <w:bottom w:w="0" w:type="dxa"/>
            </w:tcMar>
            <w:vAlign w:val="center"/>
          </w:tcPr>
          <w:p w14:paraId="37D13808" w14:textId="77777777" w:rsidR="00CC198C" w:rsidRDefault="00000000">
            <w:pPr>
              <w:keepNext/>
              <w:keepLines/>
              <w:spacing w:after="0" w:line="240" w:lineRule="auto"/>
              <w:jc w:val="right"/>
            </w:pPr>
            <w:r>
              <w:rPr>
                <w:sz w:val="18"/>
              </w:rPr>
              <w:t>38.674,09</w:t>
            </w:r>
          </w:p>
        </w:tc>
        <w:tc>
          <w:tcPr>
            <w:tcW w:w="1860" w:type="dxa"/>
            <w:tcMar>
              <w:top w:w="0" w:type="dxa"/>
              <w:bottom w:w="0" w:type="dxa"/>
            </w:tcMar>
            <w:vAlign w:val="center"/>
          </w:tcPr>
          <w:p w14:paraId="705F62A5" w14:textId="77777777" w:rsidR="00CC198C" w:rsidRDefault="00000000">
            <w:pPr>
              <w:keepNext/>
              <w:keepLines/>
              <w:spacing w:after="0" w:line="240" w:lineRule="auto"/>
              <w:jc w:val="right"/>
            </w:pPr>
            <w:r>
              <w:rPr>
                <w:sz w:val="18"/>
              </w:rPr>
              <w:t>45.907,36</w:t>
            </w:r>
          </w:p>
        </w:tc>
        <w:tc>
          <w:tcPr>
            <w:tcW w:w="700" w:type="dxa"/>
            <w:tcMar>
              <w:top w:w="0" w:type="dxa"/>
              <w:bottom w:w="0" w:type="dxa"/>
            </w:tcMar>
            <w:vAlign w:val="center"/>
          </w:tcPr>
          <w:p w14:paraId="165848AF" w14:textId="77777777" w:rsidR="00CC198C" w:rsidRDefault="00000000">
            <w:pPr>
              <w:keepNext/>
              <w:keepLines/>
              <w:spacing w:after="0" w:line="240" w:lineRule="auto"/>
              <w:jc w:val="right"/>
            </w:pPr>
            <w:r>
              <w:rPr>
                <w:sz w:val="18"/>
              </w:rPr>
              <w:t>118,7</w:t>
            </w:r>
          </w:p>
        </w:tc>
      </w:tr>
    </w:tbl>
    <w:p w14:paraId="2FD96565" w14:textId="77777777" w:rsidR="00CC198C" w:rsidRDefault="00CC198C">
      <w:pPr>
        <w:spacing w:after="0"/>
      </w:pPr>
    </w:p>
    <w:p w14:paraId="4213AD15" w14:textId="77777777" w:rsidR="00CC198C" w:rsidRDefault="00000000">
      <w:r>
        <w:t>Veća je nabava sitnog inventara (razglas i ostale komponente te kuhinjski inventar).</w:t>
      </w:r>
    </w:p>
    <w:p w14:paraId="4936B950" w14:textId="1C0E22AD" w:rsidR="00CC198C" w:rsidRDefault="00000000">
      <w:r>
        <w:t> </w:t>
      </w:r>
    </w:p>
    <w:p w14:paraId="536FFE0A" w14:textId="77777777" w:rsidR="00CC198C"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79F97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1A685"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0DEA79"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E8F99A"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BC5407"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F0442B"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74053B" w14:textId="77777777" w:rsidR="00CC198C" w:rsidRDefault="00000000">
            <w:pPr>
              <w:keepNext/>
              <w:keepLines/>
              <w:spacing w:after="0" w:line="240" w:lineRule="auto"/>
              <w:jc w:val="center"/>
            </w:pPr>
            <w:r>
              <w:rPr>
                <w:b/>
                <w:sz w:val="18"/>
              </w:rPr>
              <w:t>Indeks (%)</w:t>
            </w:r>
          </w:p>
        </w:tc>
      </w:tr>
      <w:tr w:rsidR="00CC198C" w14:paraId="47F15932" w14:textId="77777777">
        <w:tblPrEx>
          <w:tblCellMar>
            <w:top w:w="0" w:type="dxa"/>
            <w:bottom w:w="0" w:type="dxa"/>
          </w:tblCellMar>
        </w:tblPrEx>
        <w:trPr>
          <w:cantSplit/>
          <w:trHeight w:val="560"/>
        </w:trPr>
        <w:tc>
          <w:tcPr>
            <w:tcW w:w="700" w:type="dxa"/>
            <w:tcMar>
              <w:top w:w="0" w:type="dxa"/>
              <w:bottom w:w="0" w:type="dxa"/>
            </w:tcMar>
            <w:vAlign w:val="center"/>
          </w:tcPr>
          <w:p w14:paraId="72BA181A" w14:textId="77777777" w:rsidR="00CC198C" w:rsidRDefault="00000000">
            <w:pPr>
              <w:keepNext/>
              <w:keepLines/>
              <w:spacing w:after="0" w:line="240" w:lineRule="auto"/>
            </w:pPr>
            <w:r>
              <w:rPr>
                <w:sz w:val="18"/>
              </w:rPr>
              <w:t>05</w:t>
            </w:r>
          </w:p>
        </w:tc>
        <w:tc>
          <w:tcPr>
            <w:tcW w:w="3180" w:type="dxa"/>
            <w:tcMar>
              <w:top w:w="0" w:type="dxa"/>
              <w:bottom w:w="0" w:type="dxa"/>
            </w:tcMar>
            <w:vAlign w:val="center"/>
          </w:tcPr>
          <w:p w14:paraId="683B88AA" w14:textId="77777777" w:rsidR="00CC198C"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4EF6DF43" w14:textId="77777777" w:rsidR="00CC198C" w:rsidRDefault="00000000">
            <w:pPr>
              <w:keepNext/>
              <w:keepLines/>
              <w:spacing w:after="0" w:line="240" w:lineRule="auto"/>
            </w:pPr>
            <w:r>
              <w:rPr>
                <w:sz w:val="18"/>
              </w:rPr>
              <w:t>05</w:t>
            </w:r>
          </w:p>
        </w:tc>
        <w:tc>
          <w:tcPr>
            <w:tcW w:w="1860" w:type="dxa"/>
            <w:tcMar>
              <w:top w:w="0" w:type="dxa"/>
              <w:bottom w:w="0" w:type="dxa"/>
            </w:tcMar>
            <w:vAlign w:val="center"/>
          </w:tcPr>
          <w:p w14:paraId="6FDFF0B1" w14:textId="77777777" w:rsidR="00CC198C" w:rsidRDefault="00000000">
            <w:pPr>
              <w:keepNext/>
              <w:keepLines/>
              <w:spacing w:after="0" w:line="240" w:lineRule="auto"/>
              <w:jc w:val="right"/>
            </w:pPr>
            <w:r>
              <w:rPr>
                <w:sz w:val="18"/>
              </w:rPr>
              <w:t>240.745,91</w:t>
            </w:r>
          </w:p>
        </w:tc>
        <w:tc>
          <w:tcPr>
            <w:tcW w:w="1860" w:type="dxa"/>
            <w:tcMar>
              <w:top w:w="0" w:type="dxa"/>
              <w:bottom w:w="0" w:type="dxa"/>
            </w:tcMar>
            <w:vAlign w:val="center"/>
          </w:tcPr>
          <w:p w14:paraId="7D21B0F4" w14:textId="77777777" w:rsidR="00CC198C" w:rsidRDefault="00000000">
            <w:pPr>
              <w:keepNext/>
              <w:keepLines/>
              <w:spacing w:after="0" w:line="240" w:lineRule="auto"/>
              <w:jc w:val="right"/>
            </w:pPr>
            <w:r>
              <w:rPr>
                <w:sz w:val="18"/>
              </w:rPr>
              <w:t>460.415,79</w:t>
            </w:r>
          </w:p>
        </w:tc>
        <w:tc>
          <w:tcPr>
            <w:tcW w:w="700" w:type="dxa"/>
            <w:tcMar>
              <w:top w:w="0" w:type="dxa"/>
              <w:bottom w:w="0" w:type="dxa"/>
            </w:tcMar>
            <w:vAlign w:val="center"/>
          </w:tcPr>
          <w:p w14:paraId="108E8E2F" w14:textId="77777777" w:rsidR="00CC198C" w:rsidRDefault="00000000">
            <w:pPr>
              <w:keepNext/>
              <w:keepLines/>
              <w:spacing w:after="0" w:line="240" w:lineRule="auto"/>
              <w:jc w:val="right"/>
            </w:pPr>
            <w:r>
              <w:rPr>
                <w:sz w:val="18"/>
              </w:rPr>
              <w:t>191,2</w:t>
            </w:r>
          </w:p>
        </w:tc>
      </w:tr>
    </w:tbl>
    <w:p w14:paraId="10F7AEE1" w14:textId="77777777" w:rsidR="00CC198C" w:rsidRDefault="00CC198C">
      <w:pPr>
        <w:spacing w:after="0"/>
      </w:pPr>
    </w:p>
    <w:p w14:paraId="08FCADCE" w14:textId="77777777" w:rsidR="00CC198C" w:rsidRDefault="00000000">
      <w:r>
        <w:t xml:space="preserve">Dugotrajna nefinancijska imovina u pripremi sadrži kapitalne projekte koji su u tijeku (aglomeracija, uređenje pješačke staze, zelena urbana obnova i </w:t>
      </w:r>
      <w:proofErr w:type="spellStart"/>
      <w:r>
        <w:t>sl</w:t>
      </w:r>
      <w:proofErr w:type="spellEnd"/>
      <w:r>
        <w:t>).</w:t>
      </w:r>
    </w:p>
    <w:p w14:paraId="60A476ED" w14:textId="77777777" w:rsidR="00CC198C" w:rsidRDefault="00CC198C"/>
    <w:p w14:paraId="207339B1" w14:textId="77777777" w:rsidR="00CC198C"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35ADBB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78FBBC"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5E6397"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F8148"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F7070"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7944E4"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54AE40" w14:textId="77777777" w:rsidR="00CC198C" w:rsidRDefault="00000000">
            <w:pPr>
              <w:keepNext/>
              <w:keepLines/>
              <w:spacing w:after="0" w:line="240" w:lineRule="auto"/>
              <w:jc w:val="center"/>
            </w:pPr>
            <w:r>
              <w:rPr>
                <w:b/>
                <w:sz w:val="18"/>
              </w:rPr>
              <w:t>Indeks (%)</w:t>
            </w:r>
          </w:p>
        </w:tc>
      </w:tr>
      <w:tr w:rsidR="00CC198C" w14:paraId="7A3A2A38" w14:textId="77777777">
        <w:tblPrEx>
          <w:tblCellMar>
            <w:top w:w="0" w:type="dxa"/>
            <w:bottom w:w="0" w:type="dxa"/>
          </w:tblCellMar>
        </w:tblPrEx>
        <w:trPr>
          <w:cantSplit/>
          <w:trHeight w:val="560"/>
        </w:trPr>
        <w:tc>
          <w:tcPr>
            <w:tcW w:w="700" w:type="dxa"/>
            <w:tcMar>
              <w:top w:w="0" w:type="dxa"/>
              <w:bottom w:w="0" w:type="dxa"/>
            </w:tcMar>
            <w:vAlign w:val="center"/>
          </w:tcPr>
          <w:p w14:paraId="65094B68" w14:textId="77777777" w:rsidR="00CC198C" w:rsidRDefault="00000000">
            <w:pPr>
              <w:keepNext/>
              <w:keepLines/>
              <w:spacing w:after="0" w:line="240" w:lineRule="auto"/>
            </w:pPr>
            <w:r>
              <w:rPr>
                <w:sz w:val="18"/>
              </w:rPr>
              <w:t>1112</w:t>
            </w:r>
          </w:p>
        </w:tc>
        <w:tc>
          <w:tcPr>
            <w:tcW w:w="3180" w:type="dxa"/>
            <w:tcMar>
              <w:top w:w="0" w:type="dxa"/>
              <w:bottom w:w="0" w:type="dxa"/>
            </w:tcMar>
            <w:vAlign w:val="center"/>
          </w:tcPr>
          <w:p w14:paraId="309EC2A1" w14:textId="77777777" w:rsidR="00CC198C"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559D58E7" w14:textId="77777777" w:rsidR="00CC198C" w:rsidRDefault="00000000">
            <w:pPr>
              <w:keepNext/>
              <w:keepLines/>
              <w:spacing w:after="0" w:line="240" w:lineRule="auto"/>
            </w:pPr>
            <w:r>
              <w:rPr>
                <w:sz w:val="18"/>
              </w:rPr>
              <w:t>1112</w:t>
            </w:r>
          </w:p>
        </w:tc>
        <w:tc>
          <w:tcPr>
            <w:tcW w:w="1860" w:type="dxa"/>
            <w:tcMar>
              <w:top w:w="0" w:type="dxa"/>
              <w:bottom w:w="0" w:type="dxa"/>
            </w:tcMar>
            <w:vAlign w:val="center"/>
          </w:tcPr>
          <w:p w14:paraId="10687B86" w14:textId="77777777" w:rsidR="00CC198C" w:rsidRDefault="00000000">
            <w:pPr>
              <w:keepNext/>
              <w:keepLines/>
              <w:spacing w:after="0" w:line="240" w:lineRule="auto"/>
              <w:jc w:val="right"/>
            </w:pPr>
            <w:r>
              <w:rPr>
                <w:sz w:val="18"/>
              </w:rPr>
              <w:t>143.561,31</w:t>
            </w:r>
          </w:p>
        </w:tc>
        <w:tc>
          <w:tcPr>
            <w:tcW w:w="1860" w:type="dxa"/>
            <w:tcMar>
              <w:top w:w="0" w:type="dxa"/>
              <w:bottom w:w="0" w:type="dxa"/>
            </w:tcMar>
            <w:vAlign w:val="center"/>
          </w:tcPr>
          <w:p w14:paraId="135782D9" w14:textId="77777777" w:rsidR="00CC198C" w:rsidRDefault="00000000">
            <w:pPr>
              <w:keepNext/>
              <w:keepLines/>
              <w:spacing w:after="0" w:line="240" w:lineRule="auto"/>
              <w:jc w:val="right"/>
            </w:pPr>
            <w:r>
              <w:rPr>
                <w:sz w:val="18"/>
              </w:rPr>
              <w:t>100.316,41</w:t>
            </w:r>
          </w:p>
        </w:tc>
        <w:tc>
          <w:tcPr>
            <w:tcW w:w="700" w:type="dxa"/>
            <w:tcMar>
              <w:top w:w="0" w:type="dxa"/>
              <w:bottom w:w="0" w:type="dxa"/>
            </w:tcMar>
            <w:vAlign w:val="center"/>
          </w:tcPr>
          <w:p w14:paraId="1F437708" w14:textId="77777777" w:rsidR="00CC198C" w:rsidRDefault="00000000">
            <w:pPr>
              <w:keepNext/>
              <w:keepLines/>
              <w:spacing w:after="0" w:line="240" w:lineRule="auto"/>
              <w:jc w:val="right"/>
            </w:pPr>
            <w:r>
              <w:rPr>
                <w:sz w:val="18"/>
              </w:rPr>
              <w:t>69,9</w:t>
            </w:r>
          </w:p>
        </w:tc>
      </w:tr>
    </w:tbl>
    <w:p w14:paraId="2472AF04" w14:textId="77777777" w:rsidR="00CC198C" w:rsidRDefault="00CC198C">
      <w:pPr>
        <w:spacing w:after="0"/>
      </w:pPr>
    </w:p>
    <w:p w14:paraId="5EB0EBEA" w14:textId="3FAE5922" w:rsidR="00CC198C" w:rsidRDefault="00000000">
      <w:r>
        <w:t xml:space="preserve">Sa 01. </w:t>
      </w:r>
      <w:proofErr w:type="spellStart"/>
      <w:r>
        <w:t>siječnjom</w:t>
      </w:r>
      <w:proofErr w:type="spellEnd"/>
      <w:r>
        <w:t xml:space="preserve"> 2026. godine uvodi se sustav riznice pa će se poslovanje u Riznici obavljati  na način da se svi prihodi proračuna i proračunskog korisnika uplaćuju u jedinstveni račun Riznice i sva plaćanja izvršavaju se s  tog računa, a račun Dječjeg vrtića Košutica Ferdinandovac se zatvara sa 31.prosincem 2025. godine.</w:t>
      </w:r>
      <w:r>
        <w:br/>
        <w:t> </w:t>
      </w:r>
      <w:r>
        <w:br/>
        <w:t> </w:t>
      </w:r>
      <w:r>
        <w:br/>
        <w:t>  </w:t>
      </w:r>
      <w:r>
        <w:br/>
        <w:t> </w:t>
      </w:r>
      <w:r>
        <w:br/>
        <w:t> </w:t>
      </w:r>
    </w:p>
    <w:p w14:paraId="44576A71" w14:textId="77777777" w:rsidR="00CC198C" w:rsidRDefault="00CC198C"/>
    <w:p w14:paraId="689B433F" w14:textId="77777777" w:rsidR="00CC198C"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26FBC4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6FABB1"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1A7D0C"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BDD5F"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85F35"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5928A1"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78810E" w14:textId="77777777" w:rsidR="00CC198C" w:rsidRDefault="00000000">
            <w:pPr>
              <w:keepNext/>
              <w:keepLines/>
              <w:spacing w:after="0" w:line="240" w:lineRule="auto"/>
              <w:jc w:val="center"/>
            </w:pPr>
            <w:r>
              <w:rPr>
                <w:b/>
                <w:sz w:val="18"/>
              </w:rPr>
              <w:t>Indeks (%)</w:t>
            </w:r>
          </w:p>
        </w:tc>
      </w:tr>
      <w:tr w:rsidR="00CC198C" w14:paraId="05D458B1" w14:textId="77777777">
        <w:tblPrEx>
          <w:tblCellMar>
            <w:top w:w="0" w:type="dxa"/>
            <w:bottom w:w="0" w:type="dxa"/>
          </w:tblCellMar>
        </w:tblPrEx>
        <w:trPr>
          <w:cantSplit/>
          <w:trHeight w:val="560"/>
        </w:trPr>
        <w:tc>
          <w:tcPr>
            <w:tcW w:w="700" w:type="dxa"/>
            <w:tcMar>
              <w:top w:w="0" w:type="dxa"/>
              <w:bottom w:w="0" w:type="dxa"/>
            </w:tcMar>
            <w:vAlign w:val="center"/>
          </w:tcPr>
          <w:p w14:paraId="23A9DCB0" w14:textId="77777777" w:rsidR="00CC198C" w:rsidRDefault="00000000">
            <w:pPr>
              <w:keepNext/>
              <w:keepLines/>
              <w:spacing w:after="0" w:line="240" w:lineRule="auto"/>
            </w:pPr>
            <w:r>
              <w:rPr>
                <w:sz w:val="18"/>
              </w:rPr>
              <w:t>12</w:t>
            </w:r>
          </w:p>
        </w:tc>
        <w:tc>
          <w:tcPr>
            <w:tcW w:w="3180" w:type="dxa"/>
            <w:tcMar>
              <w:top w:w="0" w:type="dxa"/>
              <w:bottom w:w="0" w:type="dxa"/>
            </w:tcMar>
            <w:vAlign w:val="center"/>
          </w:tcPr>
          <w:p w14:paraId="468413CB" w14:textId="77777777" w:rsidR="00CC198C"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53F83401" w14:textId="77777777" w:rsidR="00CC198C" w:rsidRDefault="00000000">
            <w:pPr>
              <w:keepNext/>
              <w:keepLines/>
              <w:spacing w:after="0" w:line="240" w:lineRule="auto"/>
            </w:pPr>
            <w:r>
              <w:rPr>
                <w:sz w:val="18"/>
              </w:rPr>
              <w:t>12</w:t>
            </w:r>
          </w:p>
        </w:tc>
        <w:tc>
          <w:tcPr>
            <w:tcW w:w="1860" w:type="dxa"/>
            <w:tcMar>
              <w:top w:w="0" w:type="dxa"/>
              <w:bottom w:w="0" w:type="dxa"/>
            </w:tcMar>
            <w:vAlign w:val="center"/>
          </w:tcPr>
          <w:p w14:paraId="73EFDB5C" w14:textId="77777777" w:rsidR="00CC198C" w:rsidRDefault="00000000">
            <w:pPr>
              <w:keepNext/>
              <w:keepLines/>
              <w:spacing w:after="0" w:line="240" w:lineRule="auto"/>
              <w:jc w:val="right"/>
            </w:pPr>
            <w:r>
              <w:rPr>
                <w:sz w:val="18"/>
              </w:rPr>
              <w:t>1.609,44</w:t>
            </w:r>
          </w:p>
        </w:tc>
        <w:tc>
          <w:tcPr>
            <w:tcW w:w="1860" w:type="dxa"/>
            <w:tcMar>
              <w:top w:w="0" w:type="dxa"/>
              <w:bottom w:w="0" w:type="dxa"/>
            </w:tcMar>
            <w:vAlign w:val="center"/>
          </w:tcPr>
          <w:p w14:paraId="53BF3FD2" w14:textId="77777777" w:rsidR="00CC198C" w:rsidRDefault="00000000">
            <w:pPr>
              <w:keepNext/>
              <w:keepLines/>
              <w:spacing w:after="0" w:line="240" w:lineRule="auto"/>
              <w:jc w:val="right"/>
            </w:pPr>
            <w:r>
              <w:rPr>
                <w:sz w:val="18"/>
              </w:rPr>
              <w:t>3.178,02</w:t>
            </w:r>
          </w:p>
        </w:tc>
        <w:tc>
          <w:tcPr>
            <w:tcW w:w="700" w:type="dxa"/>
            <w:tcMar>
              <w:top w:w="0" w:type="dxa"/>
              <w:bottom w:w="0" w:type="dxa"/>
            </w:tcMar>
            <w:vAlign w:val="center"/>
          </w:tcPr>
          <w:p w14:paraId="6B004E9A" w14:textId="77777777" w:rsidR="00CC198C" w:rsidRDefault="00000000">
            <w:pPr>
              <w:keepNext/>
              <w:keepLines/>
              <w:spacing w:after="0" w:line="240" w:lineRule="auto"/>
              <w:jc w:val="right"/>
            </w:pPr>
            <w:r>
              <w:rPr>
                <w:sz w:val="18"/>
              </w:rPr>
              <w:t>197,5</w:t>
            </w:r>
          </w:p>
        </w:tc>
      </w:tr>
    </w:tbl>
    <w:p w14:paraId="3E5B43C2" w14:textId="77777777" w:rsidR="00CC198C" w:rsidRDefault="00CC198C">
      <w:pPr>
        <w:spacing w:after="0"/>
      </w:pPr>
    </w:p>
    <w:p w14:paraId="4E4351ED" w14:textId="77777777" w:rsidR="00CC198C" w:rsidRDefault="00000000">
      <w:r>
        <w:t>Povećanje se odnosi na potraživanja za predujmove.</w:t>
      </w:r>
    </w:p>
    <w:p w14:paraId="07AAD2E2" w14:textId="77777777" w:rsidR="00CC198C" w:rsidRDefault="00CC198C"/>
    <w:p w14:paraId="3F68DD27" w14:textId="77777777" w:rsidR="00CC198C"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F960B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F8EBB9"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77E7C8"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03B9C0"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F9C946"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AB6A0E"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107CF2" w14:textId="77777777" w:rsidR="00CC198C" w:rsidRDefault="00000000">
            <w:pPr>
              <w:keepNext/>
              <w:keepLines/>
              <w:spacing w:after="0" w:line="240" w:lineRule="auto"/>
              <w:jc w:val="center"/>
            </w:pPr>
            <w:r>
              <w:rPr>
                <w:b/>
                <w:sz w:val="18"/>
              </w:rPr>
              <w:t>Indeks (%)</w:t>
            </w:r>
          </w:p>
        </w:tc>
      </w:tr>
      <w:tr w:rsidR="00CC198C" w14:paraId="0F4551D9" w14:textId="77777777">
        <w:tblPrEx>
          <w:tblCellMar>
            <w:top w:w="0" w:type="dxa"/>
            <w:bottom w:w="0" w:type="dxa"/>
          </w:tblCellMar>
        </w:tblPrEx>
        <w:trPr>
          <w:cantSplit/>
          <w:trHeight w:val="560"/>
        </w:trPr>
        <w:tc>
          <w:tcPr>
            <w:tcW w:w="700" w:type="dxa"/>
            <w:tcMar>
              <w:top w:w="0" w:type="dxa"/>
              <w:bottom w:w="0" w:type="dxa"/>
            </w:tcMar>
            <w:vAlign w:val="center"/>
          </w:tcPr>
          <w:p w14:paraId="0A549643" w14:textId="77777777" w:rsidR="00CC198C" w:rsidRDefault="00000000">
            <w:pPr>
              <w:keepNext/>
              <w:keepLines/>
              <w:spacing w:after="0" w:line="240" w:lineRule="auto"/>
            </w:pPr>
            <w:r>
              <w:rPr>
                <w:sz w:val="18"/>
              </w:rPr>
              <w:t>16</w:t>
            </w:r>
          </w:p>
        </w:tc>
        <w:tc>
          <w:tcPr>
            <w:tcW w:w="3180" w:type="dxa"/>
            <w:tcMar>
              <w:top w:w="0" w:type="dxa"/>
              <w:bottom w:w="0" w:type="dxa"/>
            </w:tcMar>
            <w:vAlign w:val="center"/>
          </w:tcPr>
          <w:p w14:paraId="6A1531EC" w14:textId="77777777" w:rsidR="00CC198C"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A2923AB" w14:textId="77777777" w:rsidR="00CC198C" w:rsidRDefault="00000000">
            <w:pPr>
              <w:keepNext/>
              <w:keepLines/>
              <w:spacing w:after="0" w:line="240" w:lineRule="auto"/>
            </w:pPr>
            <w:r>
              <w:rPr>
                <w:sz w:val="18"/>
              </w:rPr>
              <w:t>16</w:t>
            </w:r>
          </w:p>
        </w:tc>
        <w:tc>
          <w:tcPr>
            <w:tcW w:w="1860" w:type="dxa"/>
            <w:tcMar>
              <w:top w:w="0" w:type="dxa"/>
              <w:bottom w:w="0" w:type="dxa"/>
            </w:tcMar>
            <w:vAlign w:val="center"/>
          </w:tcPr>
          <w:p w14:paraId="274A3768" w14:textId="77777777" w:rsidR="00CC198C" w:rsidRDefault="00000000">
            <w:pPr>
              <w:keepNext/>
              <w:keepLines/>
              <w:spacing w:after="0" w:line="240" w:lineRule="auto"/>
              <w:jc w:val="right"/>
            </w:pPr>
            <w:r>
              <w:rPr>
                <w:sz w:val="18"/>
              </w:rPr>
              <w:t>16.829,99</w:t>
            </w:r>
          </w:p>
        </w:tc>
        <w:tc>
          <w:tcPr>
            <w:tcW w:w="1860" w:type="dxa"/>
            <w:tcMar>
              <w:top w:w="0" w:type="dxa"/>
              <w:bottom w:w="0" w:type="dxa"/>
            </w:tcMar>
            <w:vAlign w:val="center"/>
          </w:tcPr>
          <w:p w14:paraId="653C53EA" w14:textId="77777777" w:rsidR="00CC198C" w:rsidRDefault="00000000">
            <w:pPr>
              <w:keepNext/>
              <w:keepLines/>
              <w:spacing w:after="0" w:line="240" w:lineRule="auto"/>
              <w:jc w:val="right"/>
            </w:pPr>
            <w:r>
              <w:rPr>
                <w:sz w:val="18"/>
              </w:rPr>
              <w:t>93.765,19</w:t>
            </w:r>
          </w:p>
        </w:tc>
        <w:tc>
          <w:tcPr>
            <w:tcW w:w="700" w:type="dxa"/>
            <w:tcMar>
              <w:top w:w="0" w:type="dxa"/>
              <w:bottom w:w="0" w:type="dxa"/>
            </w:tcMar>
            <w:vAlign w:val="center"/>
          </w:tcPr>
          <w:p w14:paraId="566C2E9E" w14:textId="77777777" w:rsidR="00CC198C" w:rsidRDefault="00000000">
            <w:pPr>
              <w:keepNext/>
              <w:keepLines/>
              <w:spacing w:after="0" w:line="240" w:lineRule="auto"/>
              <w:jc w:val="right"/>
            </w:pPr>
            <w:r>
              <w:rPr>
                <w:sz w:val="18"/>
              </w:rPr>
              <w:t>557,1</w:t>
            </w:r>
          </w:p>
        </w:tc>
      </w:tr>
    </w:tbl>
    <w:p w14:paraId="71619B44" w14:textId="77777777" w:rsidR="00CC198C" w:rsidRDefault="00CC198C">
      <w:pPr>
        <w:spacing w:after="0"/>
      </w:pPr>
    </w:p>
    <w:p w14:paraId="488E6AB3" w14:textId="77777777" w:rsidR="00CC198C" w:rsidRDefault="00000000">
      <w:r>
        <w:t>Potraživanja za prihode poslovanja su u značajnom porastu radi potraživanja za projekt Brižne ruke podravske te šumski doprinos.</w:t>
      </w:r>
    </w:p>
    <w:p w14:paraId="106632FA" w14:textId="1E9E513C" w:rsidR="00CC198C" w:rsidRDefault="00000000">
      <w:r>
        <w:t> </w:t>
      </w:r>
    </w:p>
    <w:p w14:paraId="3BBE51C0" w14:textId="77777777" w:rsidR="00CC198C"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5D1434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52FDAE"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DAC842"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419A31"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C51A59"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90AC49"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2E5233" w14:textId="77777777" w:rsidR="00CC198C" w:rsidRDefault="00000000">
            <w:pPr>
              <w:keepNext/>
              <w:keepLines/>
              <w:spacing w:after="0" w:line="240" w:lineRule="auto"/>
              <w:jc w:val="center"/>
            </w:pPr>
            <w:r>
              <w:rPr>
                <w:b/>
                <w:sz w:val="18"/>
              </w:rPr>
              <w:t>Indeks (%)</w:t>
            </w:r>
          </w:p>
        </w:tc>
      </w:tr>
      <w:tr w:rsidR="00CC198C" w14:paraId="3084FCA2" w14:textId="77777777">
        <w:tblPrEx>
          <w:tblCellMar>
            <w:top w:w="0" w:type="dxa"/>
            <w:bottom w:w="0" w:type="dxa"/>
          </w:tblCellMar>
        </w:tblPrEx>
        <w:trPr>
          <w:cantSplit/>
          <w:trHeight w:val="560"/>
        </w:trPr>
        <w:tc>
          <w:tcPr>
            <w:tcW w:w="700" w:type="dxa"/>
            <w:tcMar>
              <w:top w:w="0" w:type="dxa"/>
              <w:bottom w:w="0" w:type="dxa"/>
            </w:tcMar>
            <w:vAlign w:val="center"/>
          </w:tcPr>
          <w:p w14:paraId="6B37F1B4" w14:textId="77777777" w:rsidR="00CC198C" w:rsidRDefault="00000000">
            <w:pPr>
              <w:keepNext/>
              <w:keepLines/>
              <w:spacing w:after="0" w:line="240" w:lineRule="auto"/>
            </w:pPr>
            <w:r>
              <w:rPr>
                <w:sz w:val="18"/>
              </w:rPr>
              <w:t>2</w:t>
            </w:r>
          </w:p>
        </w:tc>
        <w:tc>
          <w:tcPr>
            <w:tcW w:w="3180" w:type="dxa"/>
            <w:tcMar>
              <w:top w:w="0" w:type="dxa"/>
              <w:bottom w:w="0" w:type="dxa"/>
            </w:tcMar>
            <w:vAlign w:val="center"/>
          </w:tcPr>
          <w:p w14:paraId="5C406553" w14:textId="77777777" w:rsidR="00CC198C" w:rsidRDefault="00000000">
            <w:pPr>
              <w:keepNext/>
              <w:keepLines/>
              <w:spacing w:after="0" w:line="240" w:lineRule="auto"/>
            </w:pPr>
            <w:r>
              <w:rPr>
                <w:sz w:val="18"/>
              </w:rPr>
              <w:t>Obveze (šifre 23+24+25+26+27+29)</w:t>
            </w:r>
          </w:p>
        </w:tc>
        <w:tc>
          <w:tcPr>
            <w:tcW w:w="700" w:type="dxa"/>
            <w:tcMar>
              <w:top w:w="0" w:type="dxa"/>
              <w:bottom w:w="0" w:type="dxa"/>
            </w:tcMar>
            <w:vAlign w:val="center"/>
          </w:tcPr>
          <w:p w14:paraId="2D7C0063" w14:textId="77777777" w:rsidR="00CC198C" w:rsidRDefault="00000000">
            <w:pPr>
              <w:keepNext/>
              <w:keepLines/>
              <w:spacing w:after="0" w:line="240" w:lineRule="auto"/>
            </w:pPr>
            <w:r>
              <w:rPr>
                <w:sz w:val="18"/>
              </w:rPr>
              <w:t>2</w:t>
            </w:r>
          </w:p>
        </w:tc>
        <w:tc>
          <w:tcPr>
            <w:tcW w:w="1860" w:type="dxa"/>
            <w:tcMar>
              <w:top w:w="0" w:type="dxa"/>
              <w:bottom w:w="0" w:type="dxa"/>
            </w:tcMar>
            <w:vAlign w:val="center"/>
          </w:tcPr>
          <w:p w14:paraId="0927AAA3" w14:textId="77777777" w:rsidR="00CC198C" w:rsidRDefault="00000000">
            <w:pPr>
              <w:keepNext/>
              <w:keepLines/>
              <w:spacing w:after="0" w:line="240" w:lineRule="auto"/>
              <w:jc w:val="right"/>
            </w:pPr>
            <w:r>
              <w:rPr>
                <w:sz w:val="18"/>
              </w:rPr>
              <w:t>69.074,31</w:t>
            </w:r>
          </w:p>
        </w:tc>
        <w:tc>
          <w:tcPr>
            <w:tcW w:w="1860" w:type="dxa"/>
            <w:tcMar>
              <w:top w:w="0" w:type="dxa"/>
              <w:bottom w:w="0" w:type="dxa"/>
            </w:tcMar>
            <w:vAlign w:val="center"/>
          </w:tcPr>
          <w:p w14:paraId="51C9EC6E" w14:textId="77777777" w:rsidR="00CC198C" w:rsidRDefault="00000000">
            <w:pPr>
              <w:keepNext/>
              <w:keepLines/>
              <w:spacing w:after="0" w:line="240" w:lineRule="auto"/>
              <w:jc w:val="right"/>
            </w:pPr>
            <w:r>
              <w:rPr>
                <w:sz w:val="18"/>
              </w:rPr>
              <w:t>135.146,87</w:t>
            </w:r>
          </w:p>
        </w:tc>
        <w:tc>
          <w:tcPr>
            <w:tcW w:w="700" w:type="dxa"/>
            <w:tcMar>
              <w:top w:w="0" w:type="dxa"/>
              <w:bottom w:w="0" w:type="dxa"/>
            </w:tcMar>
            <w:vAlign w:val="center"/>
          </w:tcPr>
          <w:p w14:paraId="4A802129" w14:textId="77777777" w:rsidR="00CC198C" w:rsidRDefault="00000000">
            <w:pPr>
              <w:keepNext/>
              <w:keepLines/>
              <w:spacing w:after="0" w:line="240" w:lineRule="auto"/>
              <w:jc w:val="right"/>
            </w:pPr>
            <w:r>
              <w:rPr>
                <w:sz w:val="18"/>
              </w:rPr>
              <w:t>195,7</w:t>
            </w:r>
          </w:p>
        </w:tc>
      </w:tr>
    </w:tbl>
    <w:p w14:paraId="78DCAB6A" w14:textId="77777777" w:rsidR="00CC198C" w:rsidRDefault="00CC198C">
      <w:pPr>
        <w:spacing w:after="0"/>
      </w:pPr>
    </w:p>
    <w:p w14:paraId="44A8F62C" w14:textId="77777777" w:rsidR="00CC198C" w:rsidRDefault="00000000">
      <w:r>
        <w:t>Obveze su značajno veće u odnosu na prošlogodišnje izvještajno razdoblje, sve su nedospjele i redovito se podmiruju sukladno rokovima dospijeća.</w:t>
      </w:r>
    </w:p>
    <w:p w14:paraId="033B6F7C" w14:textId="3A9F2325" w:rsidR="00CC198C" w:rsidRDefault="00000000">
      <w:r>
        <w:t> </w:t>
      </w:r>
    </w:p>
    <w:p w14:paraId="1A309ED2" w14:textId="77777777" w:rsidR="00CC198C"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723F3E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49AFAA"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4E146"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3366F"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6C31C4"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BE0630"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006568" w14:textId="77777777" w:rsidR="00CC198C" w:rsidRDefault="00000000">
            <w:pPr>
              <w:keepNext/>
              <w:keepLines/>
              <w:spacing w:after="0" w:line="240" w:lineRule="auto"/>
              <w:jc w:val="center"/>
            </w:pPr>
            <w:r>
              <w:rPr>
                <w:b/>
                <w:sz w:val="18"/>
              </w:rPr>
              <w:t>Indeks (%)</w:t>
            </w:r>
          </w:p>
        </w:tc>
      </w:tr>
      <w:tr w:rsidR="00CC198C" w14:paraId="2E5BC62E" w14:textId="77777777">
        <w:tblPrEx>
          <w:tblCellMar>
            <w:top w:w="0" w:type="dxa"/>
            <w:bottom w:w="0" w:type="dxa"/>
          </w:tblCellMar>
        </w:tblPrEx>
        <w:trPr>
          <w:cantSplit/>
          <w:trHeight w:val="560"/>
        </w:trPr>
        <w:tc>
          <w:tcPr>
            <w:tcW w:w="700" w:type="dxa"/>
            <w:tcMar>
              <w:top w:w="0" w:type="dxa"/>
              <w:bottom w:w="0" w:type="dxa"/>
            </w:tcMar>
            <w:vAlign w:val="center"/>
          </w:tcPr>
          <w:p w14:paraId="7F459238" w14:textId="77777777" w:rsidR="00CC198C" w:rsidRDefault="00000000">
            <w:pPr>
              <w:keepNext/>
              <w:keepLines/>
              <w:spacing w:after="0" w:line="240" w:lineRule="auto"/>
            </w:pPr>
            <w:r>
              <w:rPr>
                <w:sz w:val="18"/>
              </w:rPr>
              <w:t>23</w:t>
            </w:r>
          </w:p>
        </w:tc>
        <w:tc>
          <w:tcPr>
            <w:tcW w:w="3180" w:type="dxa"/>
            <w:tcMar>
              <w:top w:w="0" w:type="dxa"/>
              <w:bottom w:w="0" w:type="dxa"/>
            </w:tcMar>
            <w:vAlign w:val="center"/>
          </w:tcPr>
          <w:p w14:paraId="2B075991" w14:textId="77777777" w:rsidR="00CC198C"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5403E6D1" w14:textId="77777777" w:rsidR="00CC198C" w:rsidRDefault="00000000">
            <w:pPr>
              <w:keepNext/>
              <w:keepLines/>
              <w:spacing w:after="0" w:line="240" w:lineRule="auto"/>
            </w:pPr>
            <w:r>
              <w:rPr>
                <w:sz w:val="18"/>
              </w:rPr>
              <w:t>23</w:t>
            </w:r>
          </w:p>
        </w:tc>
        <w:tc>
          <w:tcPr>
            <w:tcW w:w="1860" w:type="dxa"/>
            <w:tcMar>
              <w:top w:w="0" w:type="dxa"/>
              <w:bottom w:w="0" w:type="dxa"/>
            </w:tcMar>
            <w:vAlign w:val="center"/>
          </w:tcPr>
          <w:p w14:paraId="34BAC348" w14:textId="77777777" w:rsidR="00CC198C" w:rsidRDefault="00000000">
            <w:pPr>
              <w:keepNext/>
              <w:keepLines/>
              <w:spacing w:after="0" w:line="240" w:lineRule="auto"/>
              <w:jc w:val="right"/>
            </w:pPr>
            <w:r>
              <w:rPr>
                <w:sz w:val="18"/>
              </w:rPr>
              <w:t>69.074,31</w:t>
            </w:r>
          </w:p>
        </w:tc>
        <w:tc>
          <w:tcPr>
            <w:tcW w:w="1860" w:type="dxa"/>
            <w:tcMar>
              <w:top w:w="0" w:type="dxa"/>
              <w:bottom w:w="0" w:type="dxa"/>
            </w:tcMar>
            <w:vAlign w:val="center"/>
          </w:tcPr>
          <w:p w14:paraId="7BE27572" w14:textId="77777777" w:rsidR="00CC198C" w:rsidRDefault="00000000">
            <w:pPr>
              <w:keepNext/>
              <w:keepLines/>
              <w:spacing w:after="0" w:line="240" w:lineRule="auto"/>
              <w:jc w:val="right"/>
            </w:pPr>
            <w:r>
              <w:rPr>
                <w:sz w:val="18"/>
              </w:rPr>
              <w:t>77.650,07</w:t>
            </w:r>
          </w:p>
        </w:tc>
        <w:tc>
          <w:tcPr>
            <w:tcW w:w="700" w:type="dxa"/>
            <w:tcMar>
              <w:top w:w="0" w:type="dxa"/>
              <w:bottom w:w="0" w:type="dxa"/>
            </w:tcMar>
            <w:vAlign w:val="center"/>
          </w:tcPr>
          <w:p w14:paraId="39C0A3E1" w14:textId="77777777" w:rsidR="00CC198C" w:rsidRDefault="00000000">
            <w:pPr>
              <w:keepNext/>
              <w:keepLines/>
              <w:spacing w:after="0" w:line="240" w:lineRule="auto"/>
              <w:jc w:val="right"/>
            </w:pPr>
            <w:r>
              <w:rPr>
                <w:sz w:val="18"/>
              </w:rPr>
              <w:t>112,4</w:t>
            </w:r>
          </w:p>
        </w:tc>
      </w:tr>
    </w:tbl>
    <w:p w14:paraId="11CEAB94" w14:textId="77777777" w:rsidR="00CC198C" w:rsidRDefault="00CC198C">
      <w:pPr>
        <w:spacing w:after="0"/>
      </w:pPr>
    </w:p>
    <w:p w14:paraId="40991093" w14:textId="77777777" w:rsidR="00CC198C" w:rsidRDefault="00000000">
      <w:r>
        <w:t>Obveze za rashode poslovanja su veće radi povećanja osnovice za obračun plaća i većeg broja zaposlenih koji su bili na zamjenama za višemjesečna bolovanja, materijalni rashodi su povećani radi općeg porasta cijena.</w:t>
      </w:r>
    </w:p>
    <w:p w14:paraId="4B1DC000" w14:textId="77777777" w:rsidR="00CC198C" w:rsidRDefault="00CC198C"/>
    <w:p w14:paraId="4F5BAFB8" w14:textId="77777777" w:rsidR="00CC198C"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194E62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70F905"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0DD9C3"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67B003"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D80FF9"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E995BA"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21EB57" w14:textId="77777777" w:rsidR="00CC198C" w:rsidRDefault="00000000">
            <w:pPr>
              <w:keepNext/>
              <w:keepLines/>
              <w:spacing w:after="0" w:line="240" w:lineRule="auto"/>
              <w:jc w:val="center"/>
            </w:pPr>
            <w:r>
              <w:rPr>
                <w:b/>
                <w:sz w:val="18"/>
              </w:rPr>
              <w:t>Indeks (%)</w:t>
            </w:r>
          </w:p>
        </w:tc>
      </w:tr>
      <w:tr w:rsidR="00CC198C" w14:paraId="65634581" w14:textId="77777777">
        <w:tblPrEx>
          <w:tblCellMar>
            <w:top w:w="0" w:type="dxa"/>
            <w:bottom w:w="0" w:type="dxa"/>
          </w:tblCellMar>
        </w:tblPrEx>
        <w:trPr>
          <w:cantSplit/>
          <w:trHeight w:val="560"/>
        </w:trPr>
        <w:tc>
          <w:tcPr>
            <w:tcW w:w="700" w:type="dxa"/>
            <w:tcMar>
              <w:top w:w="0" w:type="dxa"/>
              <w:bottom w:w="0" w:type="dxa"/>
            </w:tcMar>
            <w:vAlign w:val="center"/>
          </w:tcPr>
          <w:p w14:paraId="6F29099A" w14:textId="77777777" w:rsidR="00CC198C" w:rsidRDefault="00000000">
            <w:pPr>
              <w:keepNext/>
              <w:keepLines/>
              <w:spacing w:after="0" w:line="240" w:lineRule="auto"/>
            </w:pPr>
            <w:r>
              <w:rPr>
                <w:sz w:val="18"/>
              </w:rPr>
              <w:t>24</w:t>
            </w:r>
          </w:p>
        </w:tc>
        <w:tc>
          <w:tcPr>
            <w:tcW w:w="3180" w:type="dxa"/>
            <w:tcMar>
              <w:top w:w="0" w:type="dxa"/>
              <w:bottom w:w="0" w:type="dxa"/>
            </w:tcMar>
            <w:vAlign w:val="center"/>
          </w:tcPr>
          <w:p w14:paraId="1462557B" w14:textId="77777777" w:rsidR="00CC198C"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1B75FEF7" w14:textId="77777777" w:rsidR="00CC198C" w:rsidRDefault="00000000">
            <w:pPr>
              <w:keepNext/>
              <w:keepLines/>
              <w:spacing w:after="0" w:line="240" w:lineRule="auto"/>
            </w:pPr>
            <w:r>
              <w:rPr>
                <w:sz w:val="18"/>
              </w:rPr>
              <w:t>24</w:t>
            </w:r>
          </w:p>
        </w:tc>
        <w:tc>
          <w:tcPr>
            <w:tcW w:w="1860" w:type="dxa"/>
            <w:tcMar>
              <w:top w:w="0" w:type="dxa"/>
              <w:bottom w:w="0" w:type="dxa"/>
            </w:tcMar>
            <w:vAlign w:val="center"/>
          </w:tcPr>
          <w:p w14:paraId="18C314D0" w14:textId="77777777" w:rsidR="00CC198C" w:rsidRDefault="00000000">
            <w:pPr>
              <w:keepNext/>
              <w:keepLines/>
              <w:spacing w:after="0" w:line="240" w:lineRule="auto"/>
              <w:jc w:val="right"/>
            </w:pPr>
            <w:r>
              <w:rPr>
                <w:sz w:val="18"/>
              </w:rPr>
              <w:t>0,00</w:t>
            </w:r>
          </w:p>
        </w:tc>
        <w:tc>
          <w:tcPr>
            <w:tcW w:w="1860" w:type="dxa"/>
            <w:tcMar>
              <w:top w:w="0" w:type="dxa"/>
              <w:bottom w:w="0" w:type="dxa"/>
            </w:tcMar>
            <w:vAlign w:val="center"/>
          </w:tcPr>
          <w:p w14:paraId="0F022331" w14:textId="77777777" w:rsidR="00CC198C" w:rsidRDefault="00000000">
            <w:pPr>
              <w:keepNext/>
              <w:keepLines/>
              <w:spacing w:after="0" w:line="240" w:lineRule="auto"/>
              <w:jc w:val="right"/>
            </w:pPr>
            <w:r>
              <w:rPr>
                <w:sz w:val="18"/>
              </w:rPr>
              <w:t>55.256,80</w:t>
            </w:r>
          </w:p>
        </w:tc>
        <w:tc>
          <w:tcPr>
            <w:tcW w:w="700" w:type="dxa"/>
            <w:tcMar>
              <w:top w:w="0" w:type="dxa"/>
              <w:bottom w:w="0" w:type="dxa"/>
            </w:tcMar>
            <w:vAlign w:val="center"/>
          </w:tcPr>
          <w:p w14:paraId="600CC80B" w14:textId="77777777" w:rsidR="00CC198C" w:rsidRDefault="00000000">
            <w:pPr>
              <w:keepNext/>
              <w:keepLines/>
              <w:spacing w:after="0" w:line="240" w:lineRule="auto"/>
              <w:jc w:val="right"/>
            </w:pPr>
            <w:r>
              <w:rPr>
                <w:sz w:val="18"/>
              </w:rPr>
              <w:t>-</w:t>
            </w:r>
          </w:p>
        </w:tc>
      </w:tr>
    </w:tbl>
    <w:p w14:paraId="2C6E5B34" w14:textId="77777777" w:rsidR="00CC198C" w:rsidRDefault="00CC198C">
      <w:pPr>
        <w:spacing w:after="0"/>
      </w:pPr>
    </w:p>
    <w:p w14:paraId="20AD9E9A" w14:textId="77777777" w:rsidR="00CC198C" w:rsidRDefault="00000000">
      <w:r>
        <w:t>Povećanje obveze se odnosi na nepodmireno nedospjelo dugovanje za rekonstrukciju pješačke staze.</w:t>
      </w:r>
    </w:p>
    <w:p w14:paraId="3FAA4313" w14:textId="77777777" w:rsidR="00CC198C" w:rsidRDefault="00CC198C"/>
    <w:p w14:paraId="01DC1489" w14:textId="77777777" w:rsidR="00CC198C"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0B227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0C7D12"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270950"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D1084"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F523F"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5320DE"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20A04B" w14:textId="77777777" w:rsidR="00CC198C" w:rsidRDefault="00000000">
            <w:pPr>
              <w:keepNext/>
              <w:keepLines/>
              <w:spacing w:after="0" w:line="240" w:lineRule="auto"/>
              <w:jc w:val="center"/>
            </w:pPr>
            <w:r>
              <w:rPr>
                <w:b/>
                <w:sz w:val="18"/>
              </w:rPr>
              <w:t>Indeks (%)</w:t>
            </w:r>
          </w:p>
        </w:tc>
      </w:tr>
      <w:tr w:rsidR="00CC198C" w14:paraId="4975B7EE" w14:textId="77777777">
        <w:tblPrEx>
          <w:tblCellMar>
            <w:top w:w="0" w:type="dxa"/>
            <w:bottom w:w="0" w:type="dxa"/>
          </w:tblCellMar>
        </w:tblPrEx>
        <w:trPr>
          <w:cantSplit/>
          <w:trHeight w:val="560"/>
        </w:trPr>
        <w:tc>
          <w:tcPr>
            <w:tcW w:w="700" w:type="dxa"/>
            <w:tcMar>
              <w:top w:w="0" w:type="dxa"/>
              <w:bottom w:w="0" w:type="dxa"/>
            </w:tcMar>
            <w:vAlign w:val="center"/>
          </w:tcPr>
          <w:p w14:paraId="2D96CB16" w14:textId="77777777" w:rsidR="00CC198C" w:rsidRDefault="00000000">
            <w:pPr>
              <w:keepNext/>
              <w:keepLines/>
              <w:spacing w:after="0" w:line="240" w:lineRule="auto"/>
            </w:pPr>
            <w:r>
              <w:rPr>
                <w:sz w:val="18"/>
              </w:rPr>
              <w:t>27</w:t>
            </w:r>
          </w:p>
        </w:tc>
        <w:tc>
          <w:tcPr>
            <w:tcW w:w="3180" w:type="dxa"/>
            <w:tcMar>
              <w:top w:w="0" w:type="dxa"/>
              <w:bottom w:w="0" w:type="dxa"/>
            </w:tcMar>
            <w:vAlign w:val="center"/>
          </w:tcPr>
          <w:p w14:paraId="0CF9D2A1" w14:textId="77777777" w:rsidR="00CC198C"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712107A" w14:textId="77777777" w:rsidR="00CC198C" w:rsidRDefault="00000000">
            <w:pPr>
              <w:keepNext/>
              <w:keepLines/>
              <w:spacing w:after="0" w:line="240" w:lineRule="auto"/>
            </w:pPr>
            <w:r>
              <w:rPr>
                <w:sz w:val="18"/>
              </w:rPr>
              <w:t>27</w:t>
            </w:r>
          </w:p>
        </w:tc>
        <w:tc>
          <w:tcPr>
            <w:tcW w:w="1860" w:type="dxa"/>
            <w:tcMar>
              <w:top w:w="0" w:type="dxa"/>
              <w:bottom w:w="0" w:type="dxa"/>
            </w:tcMar>
            <w:vAlign w:val="center"/>
          </w:tcPr>
          <w:p w14:paraId="3B0EF5AE" w14:textId="77777777" w:rsidR="00CC198C" w:rsidRDefault="00000000">
            <w:pPr>
              <w:keepNext/>
              <w:keepLines/>
              <w:spacing w:after="0" w:line="240" w:lineRule="auto"/>
              <w:jc w:val="right"/>
            </w:pPr>
            <w:r>
              <w:rPr>
                <w:sz w:val="18"/>
              </w:rPr>
              <w:t>0,00</w:t>
            </w:r>
          </w:p>
        </w:tc>
        <w:tc>
          <w:tcPr>
            <w:tcW w:w="1860" w:type="dxa"/>
            <w:tcMar>
              <w:top w:w="0" w:type="dxa"/>
              <w:bottom w:w="0" w:type="dxa"/>
            </w:tcMar>
            <w:vAlign w:val="center"/>
          </w:tcPr>
          <w:p w14:paraId="47F3FA7D" w14:textId="77777777" w:rsidR="00CC198C" w:rsidRDefault="00000000">
            <w:pPr>
              <w:keepNext/>
              <w:keepLines/>
              <w:spacing w:after="0" w:line="240" w:lineRule="auto"/>
              <w:jc w:val="right"/>
            </w:pPr>
            <w:r>
              <w:rPr>
                <w:sz w:val="18"/>
              </w:rPr>
              <w:t>2.240,00</w:t>
            </w:r>
          </w:p>
        </w:tc>
        <w:tc>
          <w:tcPr>
            <w:tcW w:w="700" w:type="dxa"/>
            <w:tcMar>
              <w:top w:w="0" w:type="dxa"/>
              <w:bottom w:w="0" w:type="dxa"/>
            </w:tcMar>
            <w:vAlign w:val="center"/>
          </w:tcPr>
          <w:p w14:paraId="75DD64EC" w14:textId="77777777" w:rsidR="00CC198C" w:rsidRDefault="00000000">
            <w:pPr>
              <w:keepNext/>
              <w:keepLines/>
              <w:spacing w:after="0" w:line="240" w:lineRule="auto"/>
              <w:jc w:val="right"/>
            </w:pPr>
            <w:r>
              <w:rPr>
                <w:sz w:val="18"/>
              </w:rPr>
              <w:t>-</w:t>
            </w:r>
          </w:p>
        </w:tc>
      </w:tr>
    </w:tbl>
    <w:p w14:paraId="441E0B97" w14:textId="77777777" w:rsidR="00CC198C" w:rsidRDefault="00CC198C">
      <w:pPr>
        <w:spacing w:after="0"/>
      </w:pPr>
    </w:p>
    <w:p w14:paraId="4FAF696F" w14:textId="77777777" w:rsidR="00CC198C" w:rsidRDefault="00000000">
      <w:r>
        <w:t>Obveze za naplaćene tuđe prihode se odnosi na potporu mladima za stambeno zbrinjavanje uplaćenu od strane Državnog proračuna koja će korisniku biti proslijeđena iduće godine.</w:t>
      </w:r>
    </w:p>
    <w:p w14:paraId="176CAF67" w14:textId="77777777" w:rsidR="00CC198C" w:rsidRDefault="00CC198C"/>
    <w:p w14:paraId="3F91C15C" w14:textId="77777777" w:rsidR="00CC198C"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3E41D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3B013"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76B7F2"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BA01A"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B9A91C"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9982B2"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37B33D" w14:textId="77777777" w:rsidR="00CC198C" w:rsidRDefault="00000000">
            <w:pPr>
              <w:keepNext/>
              <w:keepLines/>
              <w:spacing w:after="0" w:line="240" w:lineRule="auto"/>
              <w:jc w:val="center"/>
            </w:pPr>
            <w:r>
              <w:rPr>
                <w:b/>
                <w:sz w:val="18"/>
              </w:rPr>
              <w:t>Indeks (%)</w:t>
            </w:r>
          </w:p>
        </w:tc>
      </w:tr>
      <w:tr w:rsidR="00CC198C" w14:paraId="1F25CB57" w14:textId="77777777">
        <w:tblPrEx>
          <w:tblCellMar>
            <w:top w:w="0" w:type="dxa"/>
            <w:bottom w:w="0" w:type="dxa"/>
          </w:tblCellMar>
        </w:tblPrEx>
        <w:trPr>
          <w:cantSplit/>
          <w:trHeight w:val="560"/>
        </w:trPr>
        <w:tc>
          <w:tcPr>
            <w:tcW w:w="700" w:type="dxa"/>
            <w:tcMar>
              <w:top w:w="0" w:type="dxa"/>
              <w:bottom w:w="0" w:type="dxa"/>
            </w:tcMar>
            <w:vAlign w:val="center"/>
          </w:tcPr>
          <w:p w14:paraId="6149B883" w14:textId="77777777" w:rsidR="00CC198C" w:rsidRDefault="00000000">
            <w:pPr>
              <w:keepNext/>
              <w:keepLines/>
              <w:spacing w:after="0" w:line="240" w:lineRule="auto"/>
            </w:pPr>
            <w:r>
              <w:rPr>
                <w:sz w:val="18"/>
              </w:rPr>
              <w:t>96</w:t>
            </w:r>
          </w:p>
        </w:tc>
        <w:tc>
          <w:tcPr>
            <w:tcW w:w="3180" w:type="dxa"/>
            <w:tcMar>
              <w:top w:w="0" w:type="dxa"/>
              <w:bottom w:w="0" w:type="dxa"/>
            </w:tcMar>
            <w:vAlign w:val="center"/>
          </w:tcPr>
          <w:p w14:paraId="6438523A" w14:textId="77777777" w:rsidR="00CC198C"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5FB776B3" w14:textId="77777777" w:rsidR="00CC198C" w:rsidRDefault="00000000">
            <w:pPr>
              <w:keepNext/>
              <w:keepLines/>
              <w:spacing w:after="0" w:line="240" w:lineRule="auto"/>
            </w:pPr>
            <w:r>
              <w:rPr>
                <w:sz w:val="18"/>
              </w:rPr>
              <w:t>96</w:t>
            </w:r>
          </w:p>
        </w:tc>
        <w:tc>
          <w:tcPr>
            <w:tcW w:w="1860" w:type="dxa"/>
            <w:tcMar>
              <w:top w:w="0" w:type="dxa"/>
              <w:bottom w:w="0" w:type="dxa"/>
            </w:tcMar>
            <w:vAlign w:val="center"/>
          </w:tcPr>
          <w:p w14:paraId="1C51A5FE" w14:textId="77777777" w:rsidR="00CC198C" w:rsidRDefault="00000000">
            <w:pPr>
              <w:keepNext/>
              <w:keepLines/>
              <w:spacing w:after="0" w:line="240" w:lineRule="auto"/>
              <w:jc w:val="right"/>
            </w:pPr>
            <w:r>
              <w:rPr>
                <w:sz w:val="18"/>
              </w:rPr>
              <w:t>16.829,99</w:t>
            </w:r>
          </w:p>
        </w:tc>
        <w:tc>
          <w:tcPr>
            <w:tcW w:w="1860" w:type="dxa"/>
            <w:tcMar>
              <w:top w:w="0" w:type="dxa"/>
              <w:bottom w:w="0" w:type="dxa"/>
            </w:tcMar>
            <w:vAlign w:val="center"/>
          </w:tcPr>
          <w:p w14:paraId="0359C982" w14:textId="77777777" w:rsidR="00CC198C" w:rsidRDefault="00000000">
            <w:pPr>
              <w:keepNext/>
              <w:keepLines/>
              <w:spacing w:after="0" w:line="240" w:lineRule="auto"/>
              <w:jc w:val="right"/>
            </w:pPr>
            <w:r>
              <w:rPr>
                <w:sz w:val="18"/>
              </w:rPr>
              <w:t>93.765,19</w:t>
            </w:r>
          </w:p>
        </w:tc>
        <w:tc>
          <w:tcPr>
            <w:tcW w:w="700" w:type="dxa"/>
            <w:tcMar>
              <w:top w:w="0" w:type="dxa"/>
              <w:bottom w:w="0" w:type="dxa"/>
            </w:tcMar>
            <w:vAlign w:val="center"/>
          </w:tcPr>
          <w:p w14:paraId="2694379A" w14:textId="77777777" w:rsidR="00CC198C" w:rsidRDefault="00000000">
            <w:pPr>
              <w:keepNext/>
              <w:keepLines/>
              <w:spacing w:after="0" w:line="240" w:lineRule="auto"/>
              <w:jc w:val="right"/>
            </w:pPr>
            <w:r>
              <w:rPr>
                <w:sz w:val="18"/>
              </w:rPr>
              <w:t>557,1</w:t>
            </w:r>
          </w:p>
        </w:tc>
      </w:tr>
    </w:tbl>
    <w:p w14:paraId="07F68B85" w14:textId="77777777" w:rsidR="00CC198C" w:rsidRDefault="00CC198C">
      <w:pPr>
        <w:spacing w:after="0"/>
      </w:pPr>
    </w:p>
    <w:p w14:paraId="185328AA" w14:textId="77777777" w:rsidR="00CC198C" w:rsidRDefault="00000000">
      <w:r>
        <w:t>Obračunati prihodi poslovanja su u značajnom porastu radi potraživanja za projekt Brižne ruke podravske, šumski doprinos te smještaj u dječjem vrtiću i provođenje etno tradicijskog programa.</w:t>
      </w:r>
    </w:p>
    <w:p w14:paraId="77A599C7" w14:textId="06140CB3" w:rsidR="00CC198C" w:rsidRDefault="00000000">
      <w:r>
        <w:t> </w:t>
      </w:r>
    </w:p>
    <w:p w14:paraId="27095CDB" w14:textId="77777777" w:rsidR="00CC198C"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6D501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3C1740"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54B5FB"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D6662E"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AC043"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4EA41A"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FA6A84" w14:textId="77777777" w:rsidR="00CC198C" w:rsidRDefault="00000000">
            <w:pPr>
              <w:keepNext/>
              <w:keepLines/>
              <w:spacing w:after="0" w:line="240" w:lineRule="auto"/>
              <w:jc w:val="center"/>
            </w:pPr>
            <w:r>
              <w:rPr>
                <w:b/>
                <w:sz w:val="18"/>
              </w:rPr>
              <w:t>Indeks (%)</w:t>
            </w:r>
          </w:p>
        </w:tc>
      </w:tr>
      <w:tr w:rsidR="00CC198C" w14:paraId="369E02AA" w14:textId="77777777">
        <w:tblPrEx>
          <w:tblCellMar>
            <w:top w:w="0" w:type="dxa"/>
            <w:bottom w:w="0" w:type="dxa"/>
          </w:tblCellMar>
        </w:tblPrEx>
        <w:trPr>
          <w:cantSplit/>
          <w:trHeight w:val="560"/>
        </w:trPr>
        <w:tc>
          <w:tcPr>
            <w:tcW w:w="700" w:type="dxa"/>
            <w:tcMar>
              <w:top w:w="0" w:type="dxa"/>
              <w:bottom w:w="0" w:type="dxa"/>
            </w:tcMar>
            <w:vAlign w:val="center"/>
          </w:tcPr>
          <w:p w14:paraId="1498104C" w14:textId="77777777" w:rsidR="00CC198C" w:rsidRDefault="00000000">
            <w:pPr>
              <w:keepNext/>
              <w:keepLines/>
              <w:spacing w:after="0" w:line="240" w:lineRule="auto"/>
            </w:pPr>
            <w:r>
              <w:rPr>
                <w:sz w:val="18"/>
              </w:rPr>
              <w:t>97</w:t>
            </w:r>
          </w:p>
        </w:tc>
        <w:tc>
          <w:tcPr>
            <w:tcW w:w="3180" w:type="dxa"/>
            <w:tcMar>
              <w:top w:w="0" w:type="dxa"/>
              <w:bottom w:w="0" w:type="dxa"/>
            </w:tcMar>
            <w:vAlign w:val="center"/>
          </w:tcPr>
          <w:p w14:paraId="28B602E3" w14:textId="77777777" w:rsidR="00CC198C"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699978AF" w14:textId="77777777" w:rsidR="00CC198C" w:rsidRDefault="00000000">
            <w:pPr>
              <w:keepNext/>
              <w:keepLines/>
              <w:spacing w:after="0" w:line="240" w:lineRule="auto"/>
            </w:pPr>
            <w:r>
              <w:rPr>
                <w:sz w:val="18"/>
              </w:rPr>
              <w:t>97</w:t>
            </w:r>
          </w:p>
        </w:tc>
        <w:tc>
          <w:tcPr>
            <w:tcW w:w="1860" w:type="dxa"/>
            <w:tcMar>
              <w:top w:w="0" w:type="dxa"/>
              <w:bottom w:w="0" w:type="dxa"/>
            </w:tcMar>
            <w:vAlign w:val="center"/>
          </w:tcPr>
          <w:p w14:paraId="3FB7B095" w14:textId="77777777" w:rsidR="00CC198C" w:rsidRDefault="00000000">
            <w:pPr>
              <w:keepNext/>
              <w:keepLines/>
              <w:spacing w:after="0" w:line="240" w:lineRule="auto"/>
              <w:jc w:val="right"/>
            </w:pPr>
            <w:r>
              <w:rPr>
                <w:sz w:val="18"/>
              </w:rPr>
              <w:t>2.891,79</w:t>
            </w:r>
          </w:p>
        </w:tc>
        <w:tc>
          <w:tcPr>
            <w:tcW w:w="1860" w:type="dxa"/>
            <w:tcMar>
              <w:top w:w="0" w:type="dxa"/>
              <w:bottom w:w="0" w:type="dxa"/>
            </w:tcMar>
            <w:vAlign w:val="center"/>
          </w:tcPr>
          <w:p w14:paraId="04FE2A43" w14:textId="77777777" w:rsidR="00CC198C" w:rsidRDefault="00000000">
            <w:pPr>
              <w:keepNext/>
              <w:keepLines/>
              <w:spacing w:after="0" w:line="240" w:lineRule="auto"/>
              <w:jc w:val="right"/>
            </w:pPr>
            <w:r>
              <w:rPr>
                <w:sz w:val="18"/>
              </w:rPr>
              <w:t>2.031,79</w:t>
            </w:r>
          </w:p>
        </w:tc>
        <w:tc>
          <w:tcPr>
            <w:tcW w:w="700" w:type="dxa"/>
            <w:tcMar>
              <w:top w:w="0" w:type="dxa"/>
              <w:bottom w:w="0" w:type="dxa"/>
            </w:tcMar>
            <w:vAlign w:val="center"/>
          </w:tcPr>
          <w:p w14:paraId="25A7EF8F" w14:textId="77777777" w:rsidR="00CC198C" w:rsidRDefault="00000000">
            <w:pPr>
              <w:keepNext/>
              <w:keepLines/>
              <w:spacing w:after="0" w:line="240" w:lineRule="auto"/>
              <w:jc w:val="right"/>
            </w:pPr>
            <w:r>
              <w:rPr>
                <w:sz w:val="18"/>
              </w:rPr>
              <w:t>70,3</w:t>
            </w:r>
          </w:p>
        </w:tc>
      </w:tr>
    </w:tbl>
    <w:p w14:paraId="66D8F2B2" w14:textId="77777777" w:rsidR="00CC198C" w:rsidRDefault="00CC198C">
      <w:pPr>
        <w:spacing w:after="0"/>
      </w:pPr>
    </w:p>
    <w:p w14:paraId="2BE386AF" w14:textId="77777777" w:rsidR="00CC198C" w:rsidRDefault="00000000">
      <w:r>
        <w:t>Obračunati prihodi od prodaje nefinancijske imovine odnose se na otplatu stanova na kojima postoji stanarsko pravo.</w:t>
      </w:r>
    </w:p>
    <w:p w14:paraId="52B2B041" w14:textId="77777777" w:rsidR="00CC198C" w:rsidRDefault="00CC198C"/>
    <w:p w14:paraId="2C208ECC" w14:textId="77777777" w:rsidR="00CC198C" w:rsidRDefault="0000000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6F95F3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12F223"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E0143E"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534CF"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77E26F"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369244"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9621A7" w14:textId="77777777" w:rsidR="00CC198C" w:rsidRDefault="00000000">
            <w:pPr>
              <w:keepNext/>
              <w:keepLines/>
              <w:spacing w:after="0" w:line="240" w:lineRule="auto"/>
              <w:jc w:val="center"/>
            </w:pPr>
            <w:r>
              <w:rPr>
                <w:b/>
                <w:sz w:val="18"/>
              </w:rPr>
              <w:t>Indeks (%)</w:t>
            </w:r>
          </w:p>
        </w:tc>
      </w:tr>
      <w:tr w:rsidR="00CC198C" w14:paraId="07970E8A" w14:textId="77777777">
        <w:tblPrEx>
          <w:tblCellMar>
            <w:top w:w="0" w:type="dxa"/>
            <w:bottom w:w="0" w:type="dxa"/>
          </w:tblCellMar>
        </w:tblPrEx>
        <w:trPr>
          <w:cantSplit/>
          <w:trHeight w:val="560"/>
        </w:trPr>
        <w:tc>
          <w:tcPr>
            <w:tcW w:w="700" w:type="dxa"/>
            <w:tcMar>
              <w:top w:w="0" w:type="dxa"/>
              <w:bottom w:w="0" w:type="dxa"/>
            </w:tcMar>
            <w:vAlign w:val="center"/>
          </w:tcPr>
          <w:p w14:paraId="66ACAFE0" w14:textId="77777777" w:rsidR="00CC198C" w:rsidRDefault="00000000">
            <w:pPr>
              <w:keepNext/>
              <w:keepLines/>
              <w:spacing w:after="0" w:line="240" w:lineRule="auto"/>
            </w:pPr>
            <w:r>
              <w:rPr>
                <w:sz w:val="18"/>
              </w:rPr>
              <w:t>991</w:t>
            </w:r>
          </w:p>
        </w:tc>
        <w:tc>
          <w:tcPr>
            <w:tcW w:w="3180" w:type="dxa"/>
            <w:tcMar>
              <w:top w:w="0" w:type="dxa"/>
              <w:bottom w:w="0" w:type="dxa"/>
            </w:tcMar>
            <w:vAlign w:val="center"/>
          </w:tcPr>
          <w:p w14:paraId="09E40DCD" w14:textId="77777777" w:rsidR="00CC198C"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0CF23AC2" w14:textId="77777777" w:rsidR="00CC198C" w:rsidRDefault="00000000">
            <w:pPr>
              <w:keepNext/>
              <w:keepLines/>
              <w:spacing w:after="0" w:line="240" w:lineRule="auto"/>
            </w:pPr>
            <w:r>
              <w:rPr>
                <w:sz w:val="18"/>
              </w:rPr>
              <w:t>991</w:t>
            </w:r>
          </w:p>
        </w:tc>
        <w:tc>
          <w:tcPr>
            <w:tcW w:w="1860" w:type="dxa"/>
            <w:tcMar>
              <w:top w:w="0" w:type="dxa"/>
              <w:bottom w:w="0" w:type="dxa"/>
            </w:tcMar>
            <w:vAlign w:val="center"/>
          </w:tcPr>
          <w:p w14:paraId="43C4CA51" w14:textId="77777777" w:rsidR="00CC198C" w:rsidRDefault="00000000">
            <w:pPr>
              <w:keepNext/>
              <w:keepLines/>
              <w:spacing w:after="0" w:line="240" w:lineRule="auto"/>
              <w:jc w:val="right"/>
            </w:pPr>
            <w:r>
              <w:rPr>
                <w:sz w:val="18"/>
              </w:rPr>
              <w:t>478.963,11</w:t>
            </w:r>
          </w:p>
        </w:tc>
        <w:tc>
          <w:tcPr>
            <w:tcW w:w="1860" w:type="dxa"/>
            <w:tcMar>
              <w:top w:w="0" w:type="dxa"/>
              <w:bottom w:w="0" w:type="dxa"/>
            </w:tcMar>
            <w:vAlign w:val="center"/>
          </w:tcPr>
          <w:p w14:paraId="6F9254D9" w14:textId="77777777" w:rsidR="00CC198C" w:rsidRDefault="00000000">
            <w:pPr>
              <w:keepNext/>
              <w:keepLines/>
              <w:spacing w:after="0" w:line="240" w:lineRule="auto"/>
              <w:jc w:val="right"/>
            </w:pPr>
            <w:r>
              <w:rPr>
                <w:sz w:val="18"/>
              </w:rPr>
              <w:t>664.601,71</w:t>
            </w:r>
          </w:p>
        </w:tc>
        <w:tc>
          <w:tcPr>
            <w:tcW w:w="700" w:type="dxa"/>
            <w:tcMar>
              <w:top w:w="0" w:type="dxa"/>
              <w:bottom w:w="0" w:type="dxa"/>
            </w:tcMar>
            <w:vAlign w:val="center"/>
          </w:tcPr>
          <w:p w14:paraId="5BCDF75A" w14:textId="77777777" w:rsidR="00CC198C" w:rsidRDefault="00000000">
            <w:pPr>
              <w:keepNext/>
              <w:keepLines/>
              <w:spacing w:after="0" w:line="240" w:lineRule="auto"/>
              <w:jc w:val="right"/>
            </w:pPr>
            <w:r>
              <w:rPr>
                <w:sz w:val="18"/>
              </w:rPr>
              <w:t>138,8</w:t>
            </w:r>
          </w:p>
        </w:tc>
      </w:tr>
    </w:tbl>
    <w:p w14:paraId="49158B9D" w14:textId="77777777" w:rsidR="00CC198C" w:rsidRDefault="00CC198C">
      <w:pPr>
        <w:spacing w:after="0"/>
      </w:pPr>
    </w:p>
    <w:p w14:paraId="5A99EAD0" w14:textId="77777777" w:rsidR="00CC198C" w:rsidRDefault="00000000">
      <w:proofErr w:type="spellStart"/>
      <w:r>
        <w:t>Izvanbilančni</w:t>
      </w:r>
      <w:proofErr w:type="spellEnd"/>
      <w:r>
        <w:t xml:space="preserve"> zapisi se odnose instrumente osiguranja plaćanja (zadužnice i garancije banke) u vrijednosti od 664.601,71 eura.    </w:t>
      </w:r>
    </w:p>
    <w:p w14:paraId="5DD2132A" w14:textId="77777777" w:rsidR="00CC198C" w:rsidRDefault="00000000">
      <w:r>
        <w:t>Tijekom godine primljena su jamstva od mladih obitelji kojima su isplaćena financijska sredstva za kupnju i adaptaciju stambenog objekta, od pravnih osoba kao jamstvo za uredno izvršenje ugovora ili jamstvo za otklanjanje nedostataka.</w:t>
      </w:r>
    </w:p>
    <w:p w14:paraId="5F3617C9" w14:textId="77777777" w:rsidR="00CC198C" w:rsidRDefault="00000000">
      <w:r>
        <w:t>Tijekom godine izdano je instrumenata osiguranja u vrijednosti 150.000,00 eura Ministarstvu regionalnog razvoja i fondova Europske unije te Ministarstvu demografije i useljeništva.</w:t>
      </w:r>
    </w:p>
    <w:p w14:paraId="393B5894" w14:textId="77777777" w:rsidR="00CC198C" w:rsidRDefault="00000000">
      <w:r>
        <w:t>Pokrenutih sudskih sporova nema evidentiranih.</w:t>
      </w:r>
    </w:p>
    <w:p w14:paraId="12CADFB9" w14:textId="4A37E2BA" w:rsidR="00CC198C" w:rsidRDefault="00000000">
      <w:r>
        <w:t> </w:t>
      </w:r>
    </w:p>
    <w:p w14:paraId="0BF57BAD" w14:textId="77777777" w:rsidR="00CC198C"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5ADB2B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96498D"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909EC9"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284276"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8A809B"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74AF0C"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6C3933" w14:textId="77777777" w:rsidR="00CC198C" w:rsidRDefault="00000000">
            <w:pPr>
              <w:keepNext/>
              <w:keepLines/>
              <w:spacing w:after="0" w:line="240" w:lineRule="auto"/>
              <w:jc w:val="center"/>
            </w:pPr>
            <w:r>
              <w:rPr>
                <w:b/>
                <w:sz w:val="18"/>
              </w:rPr>
              <w:t>Indeks (%)</w:t>
            </w:r>
          </w:p>
        </w:tc>
      </w:tr>
      <w:tr w:rsidR="00CC198C" w14:paraId="3A18C580" w14:textId="77777777">
        <w:tblPrEx>
          <w:tblCellMar>
            <w:top w:w="0" w:type="dxa"/>
            <w:bottom w:w="0" w:type="dxa"/>
          </w:tblCellMar>
        </w:tblPrEx>
        <w:trPr>
          <w:cantSplit/>
          <w:trHeight w:val="560"/>
        </w:trPr>
        <w:tc>
          <w:tcPr>
            <w:tcW w:w="700" w:type="dxa"/>
            <w:tcMar>
              <w:top w:w="0" w:type="dxa"/>
              <w:bottom w:w="0" w:type="dxa"/>
            </w:tcMar>
            <w:vAlign w:val="center"/>
          </w:tcPr>
          <w:p w14:paraId="25151CEB" w14:textId="77777777" w:rsidR="00CC198C" w:rsidRDefault="00000000">
            <w:pPr>
              <w:keepNext/>
              <w:keepLines/>
              <w:spacing w:after="0" w:line="240" w:lineRule="auto"/>
            </w:pPr>
            <w:r>
              <w:rPr>
                <w:sz w:val="18"/>
              </w:rPr>
              <w:t>92214</w:t>
            </w:r>
          </w:p>
        </w:tc>
        <w:tc>
          <w:tcPr>
            <w:tcW w:w="3180" w:type="dxa"/>
            <w:tcMar>
              <w:top w:w="0" w:type="dxa"/>
              <w:bottom w:w="0" w:type="dxa"/>
            </w:tcMar>
            <w:vAlign w:val="center"/>
          </w:tcPr>
          <w:p w14:paraId="36033199" w14:textId="77777777" w:rsidR="00CC198C" w:rsidRDefault="00000000">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33928656" w14:textId="77777777" w:rsidR="00CC198C" w:rsidRDefault="00000000">
            <w:pPr>
              <w:keepNext/>
              <w:keepLines/>
              <w:spacing w:after="0" w:line="240" w:lineRule="auto"/>
            </w:pPr>
            <w:r>
              <w:rPr>
                <w:sz w:val="18"/>
              </w:rPr>
              <w:t>92214</w:t>
            </w:r>
          </w:p>
        </w:tc>
        <w:tc>
          <w:tcPr>
            <w:tcW w:w="1860" w:type="dxa"/>
            <w:tcMar>
              <w:top w:w="0" w:type="dxa"/>
              <w:bottom w:w="0" w:type="dxa"/>
            </w:tcMar>
            <w:vAlign w:val="center"/>
          </w:tcPr>
          <w:p w14:paraId="17385D39" w14:textId="77777777" w:rsidR="00CC198C" w:rsidRDefault="00000000">
            <w:pPr>
              <w:keepNext/>
              <w:keepLines/>
              <w:spacing w:after="0" w:line="240" w:lineRule="auto"/>
              <w:jc w:val="right"/>
            </w:pPr>
            <w:r>
              <w:rPr>
                <w:sz w:val="18"/>
              </w:rPr>
              <w:t>0,00</w:t>
            </w:r>
          </w:p>
        </w:tc>
        <w:tc>
          <w:tcPr>
            <w:tcW w:w="1860" w:type="dxa"/>
            <w:tcMar>
              <w:top w:w="0" w:type="dxa"/>
              <w:bottom w:w="0" w:type="dxa"/>
            </w:tcMar>
            <w:vAlign w:val="center"/>
          </w:tcPr>
          <w:p w14:paraId="685D0E39" w14:textId="77777777" w:rsidR="00CC198C" w:rsidRDefault="00000000">
            <w:pPr>
              <w:keepNext/>
              <w:keepLines/>
              <w:spacing w:after="0" w:line="240" w:lineRule="auto"/>
              <w:jc w:val="right"/>
            </w:pPr>
            <w:r>
              <w:rPr>
                <w:sz w:val="18"/>
              </w:rPr>
              <w:t>1.961,23</w:t>
            </w:r>
          </w:p>
        </w:tc>
        <w:tc>
          <w:tcPr>
            <w:tcW w:w="700" w:type="dxa"/>
            <w:tcMar>
              <w:top w:w="0" w:type="dxa"/>
              <w:bottom w:w="0" w:type="dxa"/>
            </w:tcMar>
            <w:vAlign w:val="center"/>
          </w:tcPr>
          <w:p w14:paraId="54F79B97" w14:textId="77777777" w:rsidR="00CC198C" w:rsidRDefault="00000000">
            <w:pPr>
              <w:keepNext/>
              <w:keepLines/>
              <w:spacing w:after="0" w:line="240" w:lineRule="auto"/>
              <w:jc w:val="right"/>
            </w:pPr>
            <w:r>
              <w:rPr>
                <w:sz w:val="18"/>
              </w:rPr>
              <w:t>-</w:t>
            </w:r>
          </w:p>
        </w:tc>
      </w:tr>
    </w:tbl>
    <w:p w14:paraId="635D8A94" w14:textId="77777777" w:rsidR="00CC198C" w:rsidRDefault="00CC198C">
      <w:pPr>
        <w:spacing w:after="0"/>
      </w:pPr>
    </w:p>
    <w:p w14:paraId="169A29C2" w14:textId="77777777" w:rsidR="00CC198C" w:rsidRDefault="00000000">
      <w:r>
        <w:t xml:space="preserve">Tokom godine izvršena je </w:t>
      </w:r>
      <w:proofErr w:type="spellStart"/>
      <w:r>
        <w:t>usklada</w:t>
      </w:r>
      <w:proofErr w:type="spellEnd"/>
      <w:r>
        <w:t xml:space="preserve"> bilančne ravnoteže nefinancijske imovine i vlastitih izvora. Razlika se pojavljivala  i u bilanci stanja</w:t>
      </w:r>
      <w:r>
        <w:br/>
        <w:t>proteklih godina, što ukazuje na vjerojatnost učinjene pogreške knjigovodstvenog evidentiranja u prethodnim godinama pa je Odlukom o usklađenju </w:t>
      </w:r>
      <w:r>
        <w:br/>
        <w:t>nefinancijske imovine i vlastitih izvora evidentiran višak prihoda poslovanja - ispravci iz prethodnih razdoblja.</w:t>
      </w:r>
    </w:p>
    <w:p w14:paraId="3340B0B9" w14:textId="77777777" w:rsidR="00CC198C" w:rsidRDefault="00CC198C"/>
    <w:p w14:paraId="53C87A5A" w14:textId="77777777" w:rsidR="00CC198C"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8B946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0AC408"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0F51FB"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8D351"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5F88B1" w14:textId="77777777" w:rsidR="00CC198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0BC5F7" w14:textId="77777777" w:rsidR="00CC198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B68281" w14:textId="77777777" w:rsidR="00CC198C" w:rsidRDefault="00000000">
            <w:pPr>
              <w:keepNext/>
              <w:keepLines/>
              <w:spacing w:after="0" w:line="240" w:lineRule="auto"/>
              <w:jc w:val="center"/>
            </w:pPr>
            <w:r>
              <w:rPr>
                <w:b/>
                <w:sz w:val="18"/>
              </w:rPr>
              <w:t>Indeks (%)</w:t>
            </w:r>
          </w:p>
        </w:tc>
      </w:tr>
      <w:tr w:rsidR="00CC198C" w14:paraId="2C69F177" w14:textId="77777777">
        <w:tblPrEx>
          <w:tblCellMar>
            <w:top w:w="0" w:type="dxa"/>
            <w:bottom w:w="0" w:type="dxa"/>
          </w:tblCellMar>
        </w:tblPrEx>
        <w:trPr>
          <w:cantSplit/>
          <w:trHeight w:val="560"/>
        </w:trPr>
        <w:tc>
          <w:tcPr>
            <w:tcW w:w="700" w:type="dxa"/>
            <w:tcMar>
              <w:top w:w="0" w:type="dxa"/>
              <w:bottom w:w="0" w:type="dxa"/>
            </w:tcMar>
            <w:vAlign w:val="center"/>
          </w:tcPr>
          <w:p w14:paraId="46CE0E4B" w14:textId="77777777" w:rsidR="00CC198C" w:rsidRDefault="00000000">
            <w:pPr>
              <w:keepNext/>
              <w:keepLines/>
              <w:spacing w:after="0" w:line="240" w:lineRule="auto"/>
            </w:pPr>
            <w:r>
              <w:rPr>
                <w:sz w:val="18"/>
              </w:rPr>
              <w:t>92224</w:t>
            </w:r>
          </w:p>
        </w:tc>
        <w:tc>
          <w:tcPr>
            <w:tcW w:w="3180" w:type="dxa"/>
            <w:tcMar>
              <w:top w:w="0" w:type="dxa"/>
              <w:bottom w:w="0" w:type="dxa"/>
            </w:tcMar>
            <w:vAlign w:val="center"/>
          </w:tcPr>
          <w:p w14:paraId="6A073447" w14:textId="77777777" w:rsidR="00CC198C"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316D6A40" w14:textId="77777777" w:rsidR="00CC198C" w:rsidRDefault="00000000">
            <w:pPr>
              <w:keepNext/>
              <w:keepLines/>
              <w:spacing w:after="0" w:line="240" w:lineRule="auto"/>
            </w:pPr>
            <w:r>
              <w:rPr>
                <w:sz w:val="18"/>
              </w:rPr>
              <w:t>92224</w:t>
            </w:r>
          </w:p>
        </w:tc>
        <w:tc>
          <w:tcPr>
            <w:tcW w:w="1860" w:type="dxa"/>
            <w:tcMar>
              <w:top w:w="0" w:type="dxa"/>
              <w:bottom w:w="0" w:type="dxa"/>
            </w:tcMar>
            <w:vAlign w:val="center"/>
          </w:tcPr>
          <w:p w14:paraId="4D91E6A7" w14:textId="77777777" w:rsidR="00CC198C" w:rsidRDefault="00000000">
            <w:pPr>
              <w:keepNext/>
              <w:keepLines/>
              <w:spacing w:after="0" w:line="240" w:lineRule="auto"/>
              <w:jc w:val="right"/>
            </w:pPr>
            <w:r>
              <w:rPr>
                <w:sz w:val="18"/>
              </w:rPr>
              <w:t>0,00</w:t>
            </w:r>
          </w:p>
        </w:tc>
        <w:tc>
          <w:tcPr>
            <w:tcW w:w="1860" w:type="dxa"/>
            <w:tcMar>
              <w:top w:w="0" w:type="dxa"/>
              <w:bottom w:w="0" w:type="dxa"/>
            </w:tcMar>
            <w:vAlign w:val="center"/>
          </w:tcPr>
          <w:p w14:paraId="714A607E" w14:textId="77777777" w:rsidR="00CC198C" w:rsidRDefault="00000000">
            <w:pPr>
              <w:keepNext/>
              <w:keepLines/>
              <w:spacing w:after="0" w:line="240" w:lineRule="auto"/>
              <w:jc w:val="right"/>
            </w:pPr>
            <w:r>
              <w:rPr>
                <w:sz w:val="18"/>
              </w:rPr>
              <w:t>0,36</w:t>
            </w:r>
          </w:p>
        </w:tc>
        <w:tc>
          <w:tcPr>
            <w:tcW w:w="700" w:type="dxa"/>
            <w:tcMar>
              <w:top w:w="0" w:type="dxa"/>
              <w:bottom w:w="0" w:type="dxa"/>
            </w:tcMar>
            <w:vAlign w:val="center"/>
          </w:tcPr>
          <w:p w14:paraId="4D64BB15" w14:textId="77777777" w:rsidR="00CC198C" w:rsidRDefault="00000000">
            <w:pPr>
              <w:keepNext/>
              <w:keepLines/>
              <w:spacing w:after="0" w:line="240" w:lineRule="auto"/>
              <w:jc w:val="right"/>
            </w:pPr>
            <w:r>
              <w:rPr>
                <w:sz w:val="18"/>
              </w:rPr>
              <w:t>-</w:t>
            </w:r>
          </w:p>
        </w:tc>
      </w:tr>
    </w:tbl>
    <w:p w14:paraId="77613E17" w14:textId="77777777" w:rsidR="00CC198C" w:rsidRDefault="00CC198C">
      <w:pPr>
        <w:spacing w:after="0"/>
      </w:pPr>
    </w:p>
    <w:p w14:paraId="6897ECB8" w14:textId="77777777" w:rsidR="00CC198C" w:rsidRDefault="00000000">
      <w:r>
        <w:t xml:space="preserve"> Kod proračunskog korisnika dječjeg vrtića Košutica Ferdinandovac izvršena je </w:t>
      </w:r>
      <w:proofErr w:type="spellStart"/>
      <w:r>
        <w:t>usklada</w:t>
      </w:r>
      <w:proofErr w:type="spellEnd"/>
      <w:r>
        <w:t xml:space="preserve"> bilančne ravnoteže. Razlika se pojavljivala  i u bilanci stanja proteklih godina, što ukazuje na vjerojatnost učinjene pogreške knjigovodstvenog evidentiranja u prethodnim godinama pa je Odlukom o usklađenju nefinancijske imovine i vlastitih izvora Klasa: 601-02/25-01/22. </w:t>
      </w:r>
      <w:r>
        <w:lastRenderedPageBreak/>
        <w:t>Urbroj:2137-15-68-25-1 od 28. ožujka 2025. godine evidentiran manjak prihoda poslovanja - ispravci iz prethodnih razdoblja u iznosu 0,36 eura. </w:t>
      </w:r>
    </w:p>
    <w:p w14:paraId="27612C22" w14:textId="77777777" w:rsidR="00CC198C" w:rsidRDefault="00000000">
      <w:r>
        <w:t> </w:t>
      </w:r>
    </w:p>
    <w:p w14:paraId="55E6CD4C" w14:textId="77777777" w:rsidR="00CC198C" w:rsidRDefault="00CC198C"/>
    <w:p w14:paraId="125EB840" w14:textId="77777777" w:rsidR="00CC198C" w:rsidRDefault="00000000">
      <w:pPr>
        <w:keepNext/>
        <w:spacing w:line="240" w:lineRule="auto"/>
        <w:jc w:val="center"/>
      </w:pPr>
      <w:r>
        <w:rPr>
          <w:b/>
          <w:sz w:val="28"/>
        </w:rPr>
        <w:t>Izvještaj o rashodima prema funkcijskoj klasifikaciji</w:t>
      </w:r>
    </w:p>
    <w:p w14:paraId="56CF2858" w14:textId="77777777" w:rsidR="00CC198C"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198C" w14:paraId="093FF5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BA18A"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8128B6"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03B871"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79739" w14:textId="77777777" w:rsidR="00CC19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014D2E" w14:textId="77777777" w:rsidR="00CC19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FAD812" w14:textId="77777777" w:rsidR="00CC198C" w:rsidRDefault="00000000">
            <w:pPr>
              <w:keepNext/>
              <w:keepLines/>
              <w:spacing w:after="0" w:line="240" w:lineRule="auto"/>
              <w:jc w:val="center"/>
            </w:pPr>
            <w:r>
              <w:rPr>
                <w:b/>
                <w:sz w:val="18"/>
              </w:rPr>
              <w:t>Indeks (%)</w:t>
            </w:r>
          </w:p>
        </w:tc>
      </w:tr>
      <w:tr w:rsidR="00CC198C" w14:paraId="775B6F18" w14:textId="77777777">
        <w:tblPrEx>
          <w:tblCellMar>
            <w:top w:w="0" w:type="dxa"/>
            <w:bottom w:w="0" w:type="dxa"/>
          </w:tblCellMar>
        </w:tblPrEx>
        <w:trPr>
          <w:cantSplit/>
          <w:trHeight w:val="560"/>
        </w:trPr>
        <w:tc>
          <w:tcPr>
            <w:tcW w:w="700" w:type="dxa"/>
            <w:tcMar>
              <w:top w:w="0" w:type="dxa"/>
              <w:bottom w:w="0" w:type="dxa"/>
            </w:tcMar>
            <w:vAlign w:val="center"/>
          </w:tcPr>
          <w:p w14:paraId="75C44820" w14:textId="77777777" w:rsidR="00CC198C" w:rsidRDefault="00CC198C">
            <w:pPr>
              <w:keepNext/>
              <w:keepLines/>
              <w:spacing w:after="0" w:line="240" w:lineRule="auto"/>
            </w:pPr>
          </w:p>
        </w:tc>
        <w:tc>
          <w:tcPr>
            <w:tcW w:w="3180" w:type="dxa"/>
            <w:tcMar>
              <w:top w:w="0" w:type="dxa"/>
              <w:bottom w:w="0" w:type="dxa"/>
            </w:tcMar>
            <w:vAlign w:val="center"/>
          </w:tcPr>
          <w:p w14:paraId="060FF15C" w14:textId="77777777" w:rsidR="00CC198C"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2CAB021B" w14:textId="77777777" w:rsidR="00CC198C" w:rsidRDefault="00000000">
            <w:pPr>
              <w:keepNext/>
              <w:keepLines/>
              <w:spacing w:after="0" w:line="240" w:lineRule="auto"/>
            </w:pPr>
            <w:r>
              <w:rPr>
                <w:sz w:val="18"/>
              </w:rPr>
              <w:t>R1</w:t>
            </w:r>
          </w:p>
        </w:tc>
        <w:tc>
          <w:tcPr>
            <w:tcW w:w="1860" w:type="dxa"/>
            <w:tcMar>
              <w:top w:w="0" w:type="dxa"/>
              <w:bottom w:w="0" w:type="dxa"/>
            </w:tcMar>
            <w:vAlign w:val="center"/>
          </w:tcPr>
          <w:p w14:paraId="377C9BAD" w14:textId="77777777" w:rsidR="00CC198C" w:rsidRDefault="00000000">
            <w:pPr>
              <w:keepNext/>
              <w:keepLines/>
              <w:spacing w:after="0" w:line="240" w:lineRule="auto"/>
              <w:jc w:val="right"/>
            </w:pPr>
            <w:r>
              <w:rPr>
                <w:sz w:val="18"/>
              </w:rPr>
              <w:t>1.496.306,98</w:t>
            </w:r>
          </w:p>
        </w:tc>
        <w:tc>
          <w:tcPr>
            <w:tcW w:w="1860" w:type="dxa"/>
            <w:tcMar>
              <w:top w:w="0" w:type="dxa"/>
              <w:bottom w:w="0" w:type="dxa"/>
            </w:tcMar>
            <w:vAlign w:val="center"/>
          </w:tcPr>
          <w:p w14:paraId="426D1BD5" w14:textId="77777777" w:rsidR="00CC198C" w:rsidRDefault="00000000">
            <w:pPr>
              <w:keepNext/>
              <w:keepLines/>
              <w:spacing w:after="0" w:line="240" w:lineRule="auto"/>
              <w:jc w:val="right"/>
            </w:pPr>
            <w:r>
              <w:rPr>
                <w:sz w:val="18"/>
              </w:rPr>
              <w:t>1.637.407,75</w:t>
            </w:r>
          </w:p>
        </w:tc>
        <w:tc>
          <w:tcPr>
            <w:tcW w:w="700" w:type="dxa"/>
            <w:tcMar>
              <w:top w:w="0" w:type="dxa"/>
              <w:bottom w:w="0" w:type="dxa"/>
            </w:tcMar>
            <w:vAlign w:val="center"/>
          </w:tcPr>
          <w:p w14:paraId="6ED18801" w14:textId="77777777" w:rsidR="00CC198C" w:rsidRDefault="00000000">
            <w:pPr>
              <w:keepNext/>
              <w:keepLines/>
              <w:spacing w:after="0" w:line="240" w:lineRule="auto"/>
              <w:jc w:val="right"/>
            </w:pPr>
            <w:r>
              <w:rPr>
                <w:sz w:val="18"/>
              </w:rPr>
              <w:t>109,4</w:t>
            </w:r>
          </w:p>
        </w:tc>
      </w:tr>
    </w:tbl>
    <w:p w14:paraId="09C1D8BE" w14:textId="77777777" w:rsidR="00CC198C" w:rsidRDefault="00CC198C">
      <w:pPr>
        <w:spacing w:after="0"/>
      </w:pPr>
    </w:p>
    <w:p w14:paraId="6CA4AF96" w14:textId="77777777" w:rsidR="00CC198C" w:rsidRDefault="00000000">
      <w:r>
        <w:t>Rashodi prema funkcijskog klasifikaciji razvrstani su u skladu s njihovom namjenom.</w:t>
      </w:r>
    </w:p>
    <w:p w14:paraId="04F10109" w14:textId="77777777" w:rsidR="00CC198C" w:rsidRDefault="00CC198C"/>
    <w:p w14:paraId="2CC16D58" w14:textId="77777777" w:rsidR="00CC198C" w:rsidRDefault="00000000">
      <w:pPr>
        <w:keepNext/>
        <w:spacing w:line="240" w:lineRule="auto"/>
        <w:jc w:val="center"/>
      </w:pPr>
      <w:r>
        <w:rPr>
          <w:b/>
          <w:sz w:val="28"/>
        </w:rPr>
        <w:t>Izvještaj o obvezama</w:t>
      </w:r>
    </w:p>
    <w:p w14:paraId="138C8FDB" w14:textId="77777777" w:rsidR="00CC198C"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198C" w14:paraId="3EE037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777198"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4D8E11"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FDE58"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1AA56" w14:textId="77777777" w:rsidR="00CC198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C0934F" w14:textId="77777777" w:rsidR="00CC198C" w:rsidRDefault="00000000">
            <w:pPr>
              <w:keepNext/>
              <w:keepLines/>
              <w:spacing w:after="0" w:line="240" w:lineRule="auto"/>
              <w:jc w:val="center"/>
            </w:pPr>
            <w:r>
              <w:rPr>
                <w:b/>
                <w:sz w:val="18"/>
              </w:rPr>
              <w:t>Indeks (%)</w:t>
            </w:r>
          </w:p>
        </w:tc>
      </w:tr>
      <w:tr w:rsidR="00CC198C" w14:paraId="5943C020" w14:textId="77777777">
        <w:tblPrEx>
          <w:tblCellMar>
            <w:top w:w="0" w:type="dxa"/>
            <w:bottom w:w="0" w:type="dxa"/>
          </w:tblCellMar>
        </w:tblPrEx>
        <w:trPr>
          <w:cantSplit/>
          <w:trHeight w:val="560"/>
        </w:trPr>
        <w:tc>
          <w:tcPr>
            <w:tcW w:w="700" w:type="dxa"/>
            <w:tcMar>
              <w:top w:w="0" w:type="dxa"/>
              <w:bottom w:w="0" w:type="dxa"/>
            </w:tcMar>
            <w:vAlign w:val="center"/>
          </w:tcPr>
          <w:p w14:paraId="3AB983D8" w14:textId="77777777" w:rsidR="00CC198C" w:rsidRDefault="00CC198C">
            <w:pPr>
              <w:keepNext/>
              <w:keepLines/>
              <w:spacing w:after="0" w:line="240" w:lineRule="auto"/>
            </w:pPr>
          </w:p>
        </w:tc>
        <w:tc>
          <w:tcPr>
            <w:tcW w:w="3180" w:type="dxa"/>
            <w:tcMar>
              <w:top w:w="0" w:type="dxa"/>
              <w:bottom w:w="0" w:type="dxa"/>
            </w:tcMar>
            <w:vAlign w:val="center"/>
          </w:tcPr>
          <w:p w14:paraId="7A03B5C1" w14:textId="77777777" w:rsidR="00CC198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B60A778" w14:textId="77777777" w:rsidR="00CC198C" w:rsidRDefault="00000000">
            <w:pPr>
              <w:keepNext/>
              <w:keepLines/>
              <w:spacing w:after="0" w:line="240" w:lineRule="auto"/>
            </w:pPr>
            <w:r>
              <w:rPr>
                <w:sz w:val="18"/>
              </w:rPr>
              <w:t>V007</w:t>
            </w:r>
          </w:p>
        </w:tc>
        <w:tc>
          <w:tcPr>
            <w:tcW w:w="1860" w:type="dxa"/>
            <w:tcMar>
              <w:top w:w="0" w:type="dxa"/>
              <w:bottom w:w="0" w:type="dxa"/>
            </w:tcMar>
            <w:vAlign w:val="center"/>
          </w:tcPr>
          <w:p w14:paraId="46059843" w14:textId="77777777" w:rsidR="00CC198C" w:rsidRDefault="00000000">
            <w:pPr>
              <w:keepNext/>
              <w:keepLines/>
              <w:spacing w:after="0" w:line="240" w:lineRule="auto"/>
              <w:jc w:val="right"/>
            </w:pPr>
            <w:r>
              <w:rPr>
                <w:sz w:val="18"/>
              </w:rPr>
              <w:t>0,00</w:t>
            </w:r>
          </w:p>
        </w:tc>
        <w:tc>
          <w:tcPr>
            <w:tcW w:w="700" w:type="dxa"/>
            <w:tcMar>
              <w:top w:w="0" w:type="dxa"/>
              <w:bottom w:w="0" w:type="dxa"/>
            </w:tcMar>
            <w:vAlign w:val="center"/>
          </w:tcPr>
          <w:p w14:paraId="5FAF0AF2" w14:textId="77777777" w:rsidR="00CC198C" w:rsidRDefault="00000000">
            <w:pPr>
              <w:keepNext/>
              <w:keepLines/>
              <w:spacing w:after="0" w:line="240" w:lineRule="auto"/>
              <w:jc w:val="right"/>
            </w:pPr>
            <w:r>
              <w:rPr>
                <w:sz w:val="18"/>
              </w:rPr>
              <w:t>-</w:t>
            </w:r>
          </w:p>
        </w:tc>
      </w:tr>
    </w:tbl>
    <w:p w14:paraId="172E8024" w14:textId="77777777" w:rsidR="00CC198C" w:rsidRDefault="00CC198C">
      <w:pPr>
        <w:spacing w:after="0"/>
      </w:pPr>
    </w:p>
    <w:p w14:paraId="6DF6A9DC" w14:textId="77777777" w:rsidR="00CC198C" w:rsidRDefault="00000000">
      <w:r>
        <w:t>Nema dospjelih obveza.</w:t>
      </w:r>
    </w:p>
    <w:p w14:paraId="2ADF5363" w14:textId="77777777" w:rsidR="00CC198C" w:rsidRDefault="00CC198C"/>
    <w:p w14:paraId="548EB72F" w14:textId="77777777" w:rsidR="00CC198C"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198C" w14:paraId="178F9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166516" w14:textId="77777777" w:rsidR="00CC198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30BCC2" w14:textId="77777777" w:rsidR="00CC19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6280F" w14:textId="77777777" w:rsidR="00CC19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BA02A" w14:textId="77777777" w:rsidR="00CC198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43C4780" w14:textId="77777777" w:rsidR="00CC198C" w:rsidRDefault="00000000">
            <w:pPr>
              <w:keepNext/>
              <w:keepLines/>
              <w:spacing w:after="0" w:line="240" w:lineRule="auto"/>
              <w:jc w:val="center"/>
            </w:pPr>
            <w:r>
              <w:rPr>
                <w:b/>
                <w:sz w:val="18"/>
              </w:rPr>
              <w:t>Indeks (%)</w:t>
            </w:r>
          </w:p>
        </w:tc>
      </w:tr>
      <w:tr w:rsidR="00CC198C" w14:paraId="3BAA2CFF" w14:textId="77777777">
        <w:tblPrEx>
          <w:tblCellMar>
            <w:top w:w="0" w:type="dxa"/>
            <w:bottom w:w="0" w:type="dxa"/>
          </w:tblCellMar>
        </w:tblPrEx>
        <w:trPr>
          <w:cantSplit/>
          <w:trHeight w:val="560"/>
        </w:trPr>
        <w:tc>
          <w:tcPr>
            <w:tcW w:w="700" w:type="dxa"/>
            <w:tcMar>
              <w:top w:w="0" w:type="dxa"/>
              <w:bottom w:w="0" w:type="dxa"/>
            </w:tcMar>
            <w:vAlign w:val="center"/>
          </w:tcPr>
          <w:p w14:paraId="7B9E7F00" w14:textId="77777777" w:rsidR="00CC198C" w:rsidRDefault="00CC198C">
            <w:pPr>
              <w:keepNext/>
              <w:keepLines/>
              <w:spacing w:after="0" w:line="240" w:lineRule="auto"/>
            </w:pPr>
          </w:p>
        </w:tc>
        <w:tc>
          <w:tcPr>
            <w:tcW w:w="3180" w:type="dxa"/>
            <w:tcMar>
              <w:top w:w="0" w:type="dxa"/>
              <w:bottom w:w="0" w:type="dxa"/>
            </w:tcMar>
            <w:vAlign w:val="center"/>
          </w:tcPr>
          <w:p w14:paraId="0A7B2395" w14:textId="77777777" w:rsidR="00CC198C"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110B2EB" w14:textId="77777777" w:rsidR="00CC198C" w:rsidRDefault="00000000">
            <w:pPr>
              <w:keepNext/>
              <w:keepLines/>
              <w:spacing w:after="0" w:line="240" w:lineRule="auto"/>
            </w:pPr>
            <w:r>
              <w:rPr>
                <w:sz w:val="18"/>
              </w:rPr>
              <w:t>V009</w:t>
            </w:r>
          </w:p>
        </w:tc>
        <w:tc>
          <w:tcPr>
            <w:tcW w:w="1860" w:type="dxa"/>
            <w:tcMar>
              <w:top w:w="0" w:type="dxa"/>
              <w:bottom w:w="0" w:type="dxa"/>
            </w:tcMar>
            <w:vAlign w:val="center"/>
          </w:tcPr>
          <w:p w14:paraId="68ACA627" w14:textId="77777777" w:rsidR="00CC198C" w:rsidRDefault="00000000">
            <w:pPr>
              <w:keepNext/>
              <w:keepLines/>
              <w:spacing w:after="0" w:line="240" w:lineRule="auto"/>
              <w:jc w:val="right"/>
            </w:pPr>
            <w:r>
              <w:rPr>
                <w:sz w:val="18"/>
              </w:rPr>
              <w:t>135.146,87</w:t>
            </w:r>
          </w:p>
        </w:tc>
        <w:tc>
          <w:tcPr>
            <w:tcW w:w="700" w:type="dxa"/>
            <w:tcMar>
              <w:top w:w="0" w:type="dxa"/>
              <w:bottom w:w="0" w:type="dxa"/>
            </w:tcMar>
            <w:vAlign w:val="center"/>
          </w:tcPr>
          <w:p w14:paraId="426F1CA1" w14:textId="77777777" w:rsidR="00CC198C" w:rsidRDefault="00000000">
            <w:pPr>
              <w:keepNext/>
              <w:keepLines/>
              <w:spacing w:after="0" w:line="240" w:lineRule="auto"/>
              <w:jc w:val="right"/>
            </w:pPr>
            <w:r>
              <w:rPr>
                <w:sz w:val="18"/>
              </w:rPr>
              <w:t>-</w:t>
            </w:r>
          </w:p>
        </w:tc>
      </w:tr>
    </w:tbl>
    <w:p w14:paraId="0A8D0AAE" w14:textId="77777777" w:rsidR="00CC198C" w:rsidRDefault="00CC198C">
      <w:pPr>
        <w:spacing w:after="0"/>
      </w:pPr>
    </w:p>
    <w:p w14:paraId="5FDF7918" w14:textId="77777777" w:rsidR="00CC198C" w:rsidRDefault="00000000">
      <w:r>
        <w:t xml:space="preserve">Obveze su značajno veće u odnosu na prošlogodišnje izvještajno razdoblje, sve su nedospjele i redovito se podmiruju sukladno rokovima </w:t>
      </w:r>
      <w:proofErr w:type="spellStart"/>
      <w:r>
        <w:t>dospjeća</w:t>
      </w:r>
      <w:proofErr w:type="spellEnd"/>
      <w:r>
        <w:t>.</w:t>
      </w:r>
    </w:p>
    <w:p w14:paraId="1B357D4A" w14:textId="77777777" w:rsidR="00CC198C" w:rsidRDefault="00000000">
      <w:r>
        <w:t> </w:t>
      </w:r>
    </w:p>
    <w:p w14:paraId="6E14451D" w14:textId="77777777" w:rsidR="00CC198C" w:rsidRDefault="00CC198C"/>
    <w:p w14:paraId="1AAC6372" w14:textId="77777777" w:rsidR="00CC198C" w:rsidRDefault="00000000">
      <w:pPr>
        <w:keepNext/>
        <w:spacing w:line="240" w:lineRule="auto"/>
        <w:jc w:val="center"/>
      </w:pPr>
      <w:r>
        <w:rPr>
          <w:sz w:val="28"/>
        </w:rPr>
        <w:t>Bilješka 36.</w:t>
      </w:r>
    </w:p>
    <w:p w14:paraId="626FD445" w14:textId="77777777" w:rsidR="00CC198C" w:rsidRDefault="00000000">
      <w:pPr>
        <w:spacing w:line="240" w:lineRule="auto"/>
        <w:jc w:val="both"/>
      </w:pPr>
      <w:proofErr w:type="spellStart"/>
      <w:r>
        <w:rPr>
          <w:b/>
        </w:rPr>
        <w:t>Unutargrupne</w:t>
      </w:r>
      <w:proofErr w:type="spellEnd"/>
      <w:r>
        <w:rPr>
          <w:b/>
        </w:rPr>
        <w:t xml:space="preserve"> transakcije koje su u izvještajima eliminirane</w:t>
      </w:r>
    </w:p>
    <w:p w14:paraId="772F3C52" w14:textId="77777777" w:rsidR="00CC198C" w:rsidRDefault="00000000">
      <w:r>
        <w:t xml:space="preserve">Eliminirani su prihodi koje je proračunski korisnik Dječji vrtić Košutica Ferdinandovac dobio od Općine Ferdinandovac  iskazani na računu 6711 Prihodi iz nadležnog proračuna za </w:t>
      </w:r>
      <w:r>
        <w:lastRenderedPageBreak/>
        <w:t>financiranje rashoda poslovanja u iznosu 268.597,13 eura i račun 6712 Prihodi iz nadležnog proračuna za financiranje rashoda za nabavu nefinancijske imovine u iznosu 1.345,00 € te  rashodi na podskupini računa 367 Prijenosi proračunskim korisnicima iz nadležnog proračuna za financiranje redovne djelatnosti. </w:t>
      </w:r>
    </w:p>
    <w:p w14:paraId="6A2A0D26" w14:textId="77777777" w:rsidR="00CC198C" w:rsidRDefault="00CC198C"/>
    <w:p w14:paraId="6A475247" w14:textId="77777777" w:rsidR="00CC198C" w:rsidRDefault="00000000">
      <w:pPr>
        <w:keepNext/>
        <w:spacing w:line="240" w:lineRule="auto"/>
        <w:jc w:val="center"/>
      </w:pPr>
      <w:r>
        <w:rPr>
          <w:sz w:val="28"/>
        </w:rPr>
        <w:t>Bilješka 37.</w:t>
      </w:r>
    </w:p>
    <w:p w14:paraId="4D2C6813" w14:textId="77777777" w:rsidR="00CC198C" w:rsidRDefault="00000000">
      <w:pPr>
        <w:spacing w:line="240" w:lineRule="auto"/>
        <w:jc w:val="both"/>
      </w:pPr>
      <w:r>
        <w:rPr>
          <w:b/>
        </w:rPr>
        <w:t xml:space="preserve">Manjak ili višak u poslovanju grupe i pregled strukture manjka/viška po proračunskim korisnicima </w:t>
      </w:r>
    </w:p>
    <w:p w14:paraId="3BA18B87" w14:textId="77777777" w:rsidR="00CC198C" w:rsidRDefault="00000000">
      <w:r>
        <w:t>Rezultat poslovanja za 2025. godinu proračunskog korisnika Dječjeg vrtića Košutica Ferdinandovac je manjak prihoda i primitaka u iznosu 17.474,74 €, preneseni manjak prihoda i primitaka iz prethodne godine iznosi 4.975,53 € iz čega proizlazi ukupni manjak prihoda za pokriće u slijedećem razdoblju u iznosu 22.450,27 €.</w:t>
      </w:r>
    </w:p>
    <w:p w14:paraId="3F727FBA" w14:textId="77777777" w:rsidR="00CC198C" w:rsidRDefault="00000000">
      <w:r>
        <w:t> Rezultat poslovanja Općine Ferdinandovac za 2025. godinu je manjak prihoda i primitaka u iznosu 90.197,24 €,  preneseni višak prihoda i primitaka iz prethodne godine iznosi 81.446,25 € iz čega proizlazi ukupni manjak prihoda za pokriće u slijedećem razdoblju u iznosu 8.750,99 €.</w:t>
      </w:r>
    </w:p>
    <w:p w14:paraId="269AD990" w14:textId="77777777" w:rsidR="00CC198C" w:rsidRDefault="00000000">
      <w:r>
        <w:t>Konsolidirani financijski izvještaji prikazuju rezultat poslovanja općine i proračunskog korisnika kao cjelinu te je konsolidirani rezultat poslovanja za 2025. godinu manjak u iznosu 31.201,26 €.</w:t>
      </w:r>
    </w:p>
    <w:p w14:paraId="1D993EBC" w14:textId="77777777" w:rsidR="00CC198C" w:rsidRDefault="00000000">
      <w:r>
        <w:t> </w:t>
      </w:r>
    </w:p>
    <w:p w14:paraId="1B086879" w14:textId="77777777" w:rsidR="00CC198C" w:rsidRDefault="00000000">
      <w:r>
        <w:t> </w:t>
      </w:r>
    </w:p>
    <w:p w14:paraId="2C9CA9F3" w14:textId="77777777" w:rsidR="00CC198C" w:rsidRDefault="00CC198C"/>
    <w:sectPr w:rsidR="00CC1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8C"/>
    <w:rsid w:val="003A56AF"/>
    <w:rsid w:val="00936AEA"/>
    <w:rsid w:val="00AD5AE0"/>
    <w:rsid w:val="00CC19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FDF1"/>
  <w15:docId w15:val="{FF8F1DD5-A8A0-4F22-B21C-17937DAD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2782</Words>
  <Characters>15864</Characters>
  <Application>Microsoft Office Word</Application>
  <DocSecurity>0</DocSecurity>
  <Lines>132</Lines>
  <Paragraphs>37</Paragraphs>
  <ScaleCrop>false</ScaleCrop>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2026-02-16T07:54:00Z</dcterms:created>
  <dcterms:modified xsi:type="dcterms:W3CDTF">2026-02-16T07:56:00Z</dcterms:modified>
</cp:coreProperties>
</file>